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81B5" w14:textId="247216CF" w:rsidR="00697DBF" w:rsidRPr="00882D13" w:rsidRDefault="00697DBF" w:rsidP="008B4307">
      <w:pPr>
        <w:tabs>
          <w:tab w:val="left" w:pos="567"/>
        </w:tabs>
        <w:spacing w:after="60"/>
        <w:contextualSpacing/>
        <w:rPr>
          <w:rFonts w:ascii="Poppins" w:hAnsi="Poppins" w:cs="Poppins"/>
          <w:color w:val="808080" w:themeColor="background1" w:themeShade="80"/>
          <w:sz w:val="16"/>
          <w:szCs w:val="16"/>
        </w:rPr>
      </w:pPr>
    </w:p>
    <w:p w14:paraId="5DD0BF1C" w14:textId="6879604F" w:rsidR="008B4307" w:rsidRPr="00882D13" w:rsidRDefault="00C64F84" w:rsidP="008B4307">
      <w:pPr>
        <w:tabs>
          <w:tab w:val="left" w:pos="567"/>
        </w:tabs>
        <w:spacing w:after="60"/>
        <w:contextualSpacing/>
        <w:rPr>
          <w:rFonts w:ascii="Poppins" w:hAnsi="Poppins" w:cs="Poppins"/>
          <w:color w:val="808080" w:themeColor="background1" w:themeShade="80"/>
          <w:sz w:val="36"/>
          <w:szCs w:val="36"/>
        </w:rPr>
      </w:pPr>
      <w:r w:rsidRPr="00882D13">
        <w:rPr>
          <w:rFonts w:ascii="Poppins" w:hAnsi="Poppins" w:cs="Poppins"/>
          <w:color w:val="808080" w:themeColor="background1" w:themeShade="80"/>
          <w:sz w:val="36"/>
        </w:rPr>
        <w:t>Comunicato Stampa</w:t>
      </w:r>
      <w:r w:rsidR="009A7C04" w:rsidRPr="00882D13">
        <w:rPr>
          <w:rFonts w:ascii="Poppins" w:hAnsi="Poppins" w:cs="Poppins"/>
          <w:color w:val="808080" w:themeColor="background1" w:themeShade="80"/>
          <w:sz w:val="36"/>
        </w:rPr>
        <w:tab/>
      </w:r>
      <w:r w:rsidR="009A7C04" w:rsidRPr="00882D13">
        <w:rPr>
          <w:rFonts w:ascii="Poppins" w:hAnsi="Poppins" w:cs="Poppins"/>
          <w:color w:val="808080" w:themeColor="background1" w:themeShade="80"/>
          <w:sz w:val="36"/>
        </w:rPr>
        <w:tab/>
      </w:r>
      <w:r w:rsidR="009A7C04" w:rsidRPr="00882D13">
        <w:rPr>
          <w:rFonts w:ascii="Poppins" w:hAnsi="Poppins" w:cs="Poppins"/>
          <w:color w:val="808080" w:themeColor="background1" w:themeShade="80"/>
          <w:sz w:val="36"/>
        </w:rPr>
        <w:tab/>
      </w:r>
      <w:r w:rsidR="009A7C04" w:rsidRPr="00882D13">
        <w:rPr>
          <w:rFonts w:ascii="Poppins" w:hAnsi="Poppins" w:cs="Poppins"/>
          <w:color w:val="808080" w:themeColor="background1" w:themeShade="80"/>
          <w:sz w:val="36"/>
        </w:rPr>
        <w:tab/>
      </w:r>
      <w:r w:rsidR="009A7C04" w:rsidRPr="00882D13">
        <w:rPr>
          <w:rFonts w:ascii="Poppins" w:hAnsi="Poppins" w:cs="Poppins"/>
          <w:color w:val="808080" w:themeColor="background1" w:themeShade="80"/>
          <w:sz w:val="36"/>
        </w:rPr>
        <w:tab/>
      </w:r>
    </w:p>
    <w:p w14:paraId="42E08A5E" w14:textId="6B7D3C5B" w:rsidR="0076418E" w:rsidRPr="00847E28" w:rsidRDefault="008B4307" w:rsidP="0043311E">
      <w:pPr>
        <w:contextualSpacing/>
        <w:jc w:val="center"/>
        <w:rPr>
          <w:rFonts w:ascii="Poppins" w:hAnsi="Poppins" w:cs="Poppins"/>
          <w:sz w:val="4"/>
          <w:szCs w:val="4"/>
        </w:rPr>
      </w:pPr>
      <w:r w:rsidRPr="00847E28">
        <w:rPr>
          <w:rFonts w:ascii="Poppins" w:hAnsi="Poppins" w:cs="Poppins"/>
          <w:noProof/>
          <w:color w:val="FFFFFF" w:themeColor="background1"/>
          <w:sz w:val="4"/>
          <w:szCs w:val="4"/>
          <w:lang w:eastAsia="it-IT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48948B6" wp14:editId="41B739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409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54CB4F47" id="Connettore diritto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" strokecolor="#6cf" strokeweight="1.5pt">
                <v:stroke joinstyle="miter"/>
              </v:line>
            </w:pict>
          </mc:Fallback>
        </mc:AlternateContent>
      </w:r>
    </w:p>
    <w:p w14:paraId="3E9B374A" w14:textId="77777777" w:rsidR="00012F2A" w:rsidRPr="00012F2A" w:rsidRDefault="00012F2A" w:rsidP="0043311E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8"/>
          <w:szCs w:val="8"/>
          <w:lang w:eastAsia="fr-FR"/>
        </w:rPr>
      </w:pPr>
    </w:p>
    <w:p w14:paraId="23B25A6D" w14:textId="751B97CB" w:rsidR="000B53DD" w:rsidRPr="00882D13" w:rsidRDefault="00CA6BAF" w:rsidP="0043311E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</w:pPr>
      <w:r w:rsidRPr="00882D13"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INWIT SUSTAINABILITY DAY 2025</w:t>
      </w:r>
      <w:r w:rsidR="000B53DD" w:rsidRPr="00882D13"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:</w:t>
      </w:r>
    </w:p>
    <w:p w14:paraId="1A1C1954" w14:textId="0D82BB4A" w:rsidR="00490503" w:rsidRDefault="00490503" w:rsidP="0043311E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</w:pPr>
      <w:r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PRESENTATO LO STUDIO</w:t>
      </w:r>
    </w:p>
    <w:p w14:paraId="4FF8EB2D" w14:textId="30F09F4D" w:rsidR="005116FA" w:rsidRDefault="00A7261A" w:rsidP="0043311E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</w:pPr>
      <w:r w:rsidRPr="00882D13"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“</w:t>
      </w:r>
      <w:r w:rsidR="004948B6" w:rsidRPr="00882D13"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IL VALORE DI INWIT PER L’ITALIA</w:t>
      </w:r>
      <w:r w:rsidRPr="00882D13"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”</w:t>
      </w:r>
    </w:p>
    <w:p w14:paraId="1A4421DF" w14:textId="51B0635F" w:rsidR="00490503" w:rsidRDefault="00490503" w:rsidP="0043311E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</w:pPr>
      <w:r>
        <w:rPr>
          <w:rFonts w:ascii="Poppins" w:hAnsi="Poppins" w:cs="Poppins"/>
          <w:b/>
          <w:bCs/>
          <w:color w:val="000000" w:themeColor="text1"/>
          <w:sz w:val="32"/>
          <w:szCs w:val="32"/>
          <w:lang w:eastAsia="fr-FR"/>
        </w:rPr>
        <w:t>REALIZZATO DA TEHA GROUP</w:t>
      </w:r>
    </w:p>
    <w:p w14:paraId="02D62E6F" w14:textId="77777777" w:rsidR="000D3A6D" w:rsidRPr="00991752" w:rsidRDefault="000D3A6D" w:rsidP="000D3A6D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10"/>
          <w:szCs w:val="10"/>
          <w:lang w:eastAsia="fr-FR"/>
        </w:rPr>
      </w:pPr>
    </w:p>
    <w:p w14:paraId="3EAD89EB" w14:textId="0B6B9D2C" w:rsidR="006F664B" w:rsidRPr="00D022BE" w:rsidRDefault="006F664B" w:rsidP="006F664B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L’IMPATTO NEL 2024:</w:t>
      </w:r>
    </w:p>
    <w:p w14:paraId="2290C38E" w14:textId="004E8817" w:rsidR="006F664B" w:rsidRPr="00D022BE" w:rsidRDefault="006F664B" w:rsidP="006F664B">
      <w:pPr>
        <w:pStyle w:val="Paragrafoelenco"/>
        <w:numPr>
          <w:ilvl w:val="0"/>
          <w:numId w:val="12"/>
        </w:num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€ 1,3 MILIARDI SUL PIL</w:t>
      </w:r>
    </w:p>
    <w:p w14:paraId="26AAE77E" w14:textId="77777777" w:rsidR="006F664B" w:rsidRPr="00D022BE" w:rsidRDefault="006F664B" w:rsidP="006F664B">
      <w:pPr>
        <w:pStyle w:val="Paragrafoelenco"/>
        <w:numPr>
          <w:ilvl w:val="0"/>
          <w:numId w:val="12"/>
        </w:num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 xml:space="preserve"> CIRCA 3.200 POSTI DI LAVORO SOSTENUTI</w:t>
      </w:r>
    </w:p>
    <w:p w14:paraId="057F9C80" w14:textId="77777777" w:rsidR="006F664B" w:rsidRPr="00D022BE" w:rsidRDefault="006F664B" w:rsidP="006F664B">
      <w:pPr>
        <w:pStyle w:val="Paragrafoelenco"/>
        <w:numPr>
          <w:ilvl w:val="0"/>
          <w:numId w:val="12"/>
        </w:num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OLTRE IL 30% DEI RICAVI REINVESTITI NELLO SVILUPPO DI INFRASTRUTTURE DIGITALI MULTI-OPERATORE</w:t>
      </w:r>
    </w:p>
    <w:p w14:paraId="0BA3982B" w14:textId="77777777" w:rsidR="006F664B" w:rsidRPr="00EB4B33" w:rsidRDefault="006F664B" w:rsidP="006F664B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8"/>
          <w:szCs w:val="8"/>
          <w:lang w:eastAsia="fr-FR"/>
        </w:rPr>
      </w:pPr>
    </w:p>
    <w:p w14:paraId="1E116FE8" w14:textId="77777777" w:rsidR="006F664B" w:rsidRPr="00D022BE" w:rsidRDefault="006F664B" w:rsidP="006F664B">
      <w:pPr>
        <w:jc w:val="center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GRAZIE AL MODELLO FONDATO SULLA CONDIVISIONE DELLE INFRASTRUTTURE, TRA IL 2015 E IL 2024:</w:t>
      </w:r>
    </w:p>
    <w:p w14:paraId="1DFED94C" w14:textId="77777777" w:rsidR="006F664B" w:rsidRPr="00EB4B33" w:rsidRDefault="006F664B" w:rsidP="006F664B">
      <w:pPr>
        <w:rPr>
          <w:rFonts w:ascii="Poppins" w:hAnsi="Poppins" w:cs="Poppins"/>
          <w:b/>
          <w:bCs/>
          <w:color w:val="000000" w:themeColor="text1"/>
          <w:sz w:val="8"/>
          <w:szCs w:val="8"/>
          <w:lang w:eastAsia="fr-FR"/>
        </w:rPr>
      </w:pPr>
    </w:p>
    <w:p w14:paraId="54E2ED0F" w14:textId="77777777" w:rsidR="006F664B" w:rsidRPr="00D022BE" w:rsidRDefault="006F664B" w:rsidP="006F664B">
      <w:pPr>
        <w:jc w:val="center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 xml:space="preserve">- € 15,8 MILIARDI DI COSTI EVITATI </w:t>
      </w:r>
      <w:r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ALLA FILIERA TELCO</w:t>
      </w:r>
    </w:p>
    <w:p w14:paraId="20AD37FC" w14:textId="77777777" w:rsidR="006F664B" w:rsidRDefault="006F664B" w:rsidP="006F664B">
      <w:pPr>
        <w:jc w:val="center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- 2,5 MILIONI DI TONNELLATE DI EMISSIONI DI CO</w:t>
      </w:r>
      <w:r w:rsidRPr="00D022BE">
        <w:rPr>
          <w:rFonts w:ascii="Cambria Math" w:hAnsi="Cambria Math" w:cs="Cambria Math"/>
          <w:b/>
          <w:bCs/>
          <w:color w:val="000000" w:themeColor="text1"/>
          <w:sz w:val="26"/>
          <w:szCs w:val="26"/>
          <w:lang w:eastAsia="fr-FR"/>
        </w:rPr>
        <w:t>₂</w:t>
      </w: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 xml:space="preserve"> EVITATE</w:t>
      </w:r>
    </w:p>
    <w:p w14:paraId="3E6B130C" w14:textId="77777777" w:rsidR="004A644C" w:rsidRPr="004A644C" w:rsidRDefault="004A644C" w:rsidP="006F664B">
      <w:pPr>
        <w:jc w:val="center"/>
        <w:rPr>
          <w:rFonts w:ascii="Poppins" w:hAnsi="Poppins" w:cs="Poppins"/>
          <w:b/>
          <w:bCs/>
          <w:color w:val="000000" w:themeColor="text1"/>
          <w:sz w:val="8"/>
          <w:szCs w:val="8"/>
          <w:lang w:eastAsia="fr-FR"/>
        </w:rPr>
      </w:pPr>
    </w:p>
    <w:p w14:paraId="304988BA" w14:textId="77777777" w:rsidR="006F664B" w:rsidRPr="00D022BE" w:rsidRDefault="006F664B" w:rsidP="006F664B">
      <w:pPr>
        <w:jc w:val="center"/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</w:pPr>
      <w:r w:rsidRPr="00D022BE">
        <w:rPr>
          <w:rFonts w:ascii="Poppins" w:hAnsi="Poppins" w:cs="Poppins"/>
          <w:b/>
          <w:bCs/>
          <w:color w:val="000000" w:themeColor="text1"/>
          <w:sz w:val="26"/>
          <w:szCs w:val="26"/>
          <w:lang w:eastAsia="fr-FR"/>
        </w:rPr>
        <w:t>+ € 1,4 MILIARDI DI INVESTIMENTI DI INWIT (€ 2,9 MILIARDI DAL 2015 AL 2030)</w:t>
      </w:r>
    </w:p>
    <w:p w14:paraId="024BD392" w14:textId="77777777" w:rsidR="00FA7A1F" w:rsidRPr="00EB4B33" w:rsidRDefault="00FA7A1F" w:rsidP="00FA7A1F">
      <w:pPr>
        <w:jc w:val="center"/>
        <w:textAlignment w:val="baseline"/>
        <w:rPr>
          <w:rFonts w:ascii="Poppins" w:hAnsi="Poppins" w:cs="Poppins"/>
          <w:b/>
          <w:bCs/>
          <w:color w:val="000000" w:themeColor="text1"/>
          <w:sz w:val="8"/>
          <w:szCs w:val="8"/>
          <w:lang w:eastAsia="fr-FR"/>
        </w:rPr>
      </w:pPr>
    </w:p>
    <w:p w14:paraId="47F6F542" w14:textId="77777777" w:rsidR="00012F2A" w:rsidRPr="00311F65" w:rsidRDefault="00012F2A" w:rsidP="00895F77">
      <w:pPr>
        <w:jc w:val="both"/>
        <w:rPr>
          <w:rFonts w:ascii="Poppins" w:hAnsi="Poppins" w:cs="Poppins"/>
          <w:sz w:val="10"/>
          <w:szCs w:val="10"/>
          <w:highlight w:val="yellow"/>
        </w:rPr>
      </w:pPr>
    </w:p>
    <w:p w14:paraId="58FABC6A" w14:textId="77777777" w:rsidR="00FC61BA" w:rsidRPr="003B1144" w:rsidRDefault="003E7373" w:rsidP="00FC61BA">
      <w:pPr>
        <w:jc w:val="both"/>
        <w:rPr>
          <w:rFonts w:ascii="Poppins" w:hAnsi="Poppins" w:cs="Poppins"/>
          <w:sz w:val="16"/>
          <w:szCs w:val="16"/>
        </w:rPr>
      </w:pPr>
      <w:r w:rsidRPr="00F210CE">
        <w:rPr>
          <w:rFonts w:ascii="Poppins" w:hAnsi="Poppins" w:cs="Poppins"/>
          <w:sz w:val="16"/>
          <w:szCs w:val="16"/>
        </w:rPr>
        <w:t xml:space="preserve">Roma, 19 maggio 2025 </w:t>
      </w:r>
      <w:r w:rsidR="00547105" w:rsidRPr="00F210CE">
        <w:rPr>
          <w:rFonts w:ascii="Poppins" w:hAnsi="Poppins" w:cs="Poppins"/>
          <w:sz w:val="16"/>
          <w:szCs w:val="16"/>
        </w:rPr>
        <w:t>–</w:t>
      </w:r>
      <w:r w:rsidRPr="00F210CE">
        <w:rPr>
          <w:rFonts w:ascii="Poppins" w:hAnsi="Poppins" w:cs="Poppins"/>
          <w:sz w:val="16"/>
          <w:szCs w:val="16"/>
        </w:rPr>
        <w:t xml:space="preserve"> </w:t>
      </w:r>
      <w:r w:rsidR="00FC61BA" w:rsidRPr="003B1144">
        <w:rPr>
          <w:rFonts w:ascii="Poppins" w:hAnsi="Poppins" w:cs="Poppins"/>
          <w:color w:val="000000" w:themeColor="text1"/>
          <w:sz w:val="16"/>
          <w:szCs w:val="16"/>
        </w:rPr>
        <w:t xml:space="preserve">Sono </w:t>
      </w:r>
      <w:r w:rsidR="00FC61BA" w:rsidRPr="003B1144">
        <w:rPr>
          <w:rFonts w:ascii="Poppins" w:hAnsi="Poppins" w:cs="Poppins"/>
          <w:b/>
          <w:bCs/>
          <w:color w:val="000000" w:themeColor="text1"/>
          <w:sz w:val="16"/>
          <w:szCs w:val="16"/>
        </w:rPr>
        <w:t>15,</w:t>
      </w:r>
      <w:r w:rsidR="00FC61BA" w:rsidRPr="003B1144">
        <w:rPr>
          <w:rFonts w:ascii="Poppins" w:hAnsi="Poppins" w:cs="Poppins"/>
          <w:b/>
          <w:bCs/>
          <w:sz w:val="16"/>
          <w:szCs w:val="16"/>
        </w:rPr>
        <w:t>8 miliardi di euro i costi evitati agli operatori di telecomunicazioni mobili in Italia</w:t>
      </w:r>
      <w:r w:rsidR="00FC61BA" w:rsidRPr="003B1144">
        <w:rPr>
          <w:rFonts w:ascii="Poppins" w:hAnsi="Poppins" w:cs="Poppins"/>
          <w:sz w:val="16"/>
          <w:szCs w:val="16"/>
        </w:rPr>
        <w:t xml:space="preserve">, tra il 2015 e il 2024, </w:t>
      </w:r>
      <w:r w:rsidR="00FC61BA" w:rsidRPr="003B1144">
        <w:rPr>
          <w:rFonts w:ascii="Poppins" w:hAnsi="Poppins" w:cs="Poppins"/>
          <w:b/>
          <w:bCs/>
          <w:sz w:val="16"/>
          <w:szCs w:val="16"/>
        </w:rPr>
        <w:t>grazie al modello di condivisione</w:t>
      </w:r>
      <w:r w:rsidR="00FC61BA" w:rsidRPr="003B1144">
        <w:rPr>
          <w:rFonts w:ascii="Poppins" w:hAnsi="Poppins" w:cs="Poppins"/>
          <w:sz w:val="16"/>
          <w:szCs w:val="16"/>
        </w:rPr>
        <w:t>, a seguito della separazione tra infrastrutture e servizi: un approccio che consente di ottimizzare le risorse, ridurre la duplicazione degli asset, abilitare l’innovazione tecnologica e contribuire in modo concreto allo sviluppo sostenibile e competitivo del Paese.</w:t>
      </w:r>
    </w:p>
    <w:p w14:paraId="261B135D" w14:textId="77777777" w:rsidR="00FC61BA" w:rsidRPr="00ED3F0A" w:rsidRDefault="00FC61BA" w:rsidP="00FC61BA">
      <w:pPr>
        <w:jc w:val="both"/>
        <w:rPr>
          <w:rFonts w:ascii="Poppins" w:hAnsi="Poppins" w:cs="Poppins"/>
          <w:sz w:val="8"/>
          <w:szCs w:val="8"/>
        </w:rPr>
      </w:pPr>
    </w:p>
    <w:p w14:paraId="77C29CFD" w14:textId="77777777" w:rsidR="00FC61BA" w:rsidRPr="003B1144" w:rsidRDefault="00FC61BA" w:rsidP="00FC61BA">
      <w:pPr>
        <w:jc w:val="both"/>
        <w:rPr>
          <w:rFonts w:ascii="Poppins" w:hAnsi="Poppins" w:cs="Poppins"/>
          <w:sz w:val="16"/>
          <w:szCs w:val="16"/>
        </w:rPr>
      </w:pPr>
      <w:r w:rsidRPr="003B1144">
        <w:rPr>
          <w:rFonts w:ascii="Poppins" w:hAnsi="Poppins" w:cs="Poppins"/>
          <w:b/>
          <w:bCs/>
          <w:sz w:val="16"/>
          <w:szCs w:val="16"/>
        </w:rPr>
        <w:t>Condividere infrastrutture consente di massimizzare l’utilizzo della capacità dell’infrastruttura esistente</w:t>
      </w:r>
      <w:r w:rsidRPr="003B1144">
        <w:rPr>
          <w:rFonts w:ascii="Poppins" w:hAnsi="Poppins" w:cs="Poppins"/>
          <w:sz w:val="16"/>
          <w:szCs w:val="16"/>
        </w:rPr>
        <w:t xml:space="preserve">, evitandone la duplicazione, </w:t>
      </w:r>
      <w:r w:rsidRPr="003B1144">
        <w:rPr>
          <w:rFonts w:ascii="Poppins" w:hAnsi="Poppins" w:cs="Poppins"/>
          <w:b/>
          <w:bCs/>
          <w:sz w:val="16"/>
          <w:szCs w:val="16"/>
        </w:rPr>
        <w:t>con importanti effetti economici</w:t>
      </w:r>
      <w:r w:rsidRPr="003B1144">
        <w:rPr>
          <w:rFonts w:ascii="Poppins" w:hAnsi="Poppins" w:cs="Poppins"/>
          <w:sz w:val="16"/>
          <w:szCs w:val="16"/>
        </w:rPr>
        <w:t xml:space="preserve">, ma </w:t>
      </w:r>
      <w:r w:rsidRPr="003B1144">
        <w:rPr>
          <w:rFonts w:ascii="Poppins" w:hAnsi="Poppins" w:cs="Poppins"/>
          <w:b/>
          <w:bCs/>
          <w:sz w:val="16"/>
          <w:szCs w:val="16"/>
        </w:rPr>
        <w:t>significa anche ridurre l’impatto ambientale e le esternalità negative, migliorando l’accessibilità e la capillarità dei servizi</w:t>
      </w:r>
      <w:r w:rsidRPr="003B1144">
        <w:rPr>
          <w:rFonts w:ascii="Poppins" w:hAnsi="Poppins" w:cs="Poppins"/>
          <w:sz w:val="16"/>
          <w:szCs w:val="16"/>
        </w:rPr>
        <w:t xml:space="preserve">. Tra il 2015 e il 2024, </w:t>
      </w:r>
      <w:r w:rsidRPr="003B1144">
        <w:rPr>
          <w:rFonts w:ascii="Poppins" w:hAnsi="Poppins" w:cs="Poppins"/>
          <w:b/>
          <w:bCs/>
          <w:sz w:val="16"/>
          <w:szCs w:val="16"/>
        </w:rPr>
        <w:t>la</w:t>
      </w:r>
      <w:r w:rsidRPr="003B1144">
        <w:rPr>
          <w:rFonts w:ascii="Poppins" w:hAnsi="Poppins" w:cs="Poppins"/>
          <w:sz w:val="16"/>
          <w:szCs w:val="16"/>
        </w:rPr>
        <w:t xml:space="preserve"> </w:t>
      </w:r>
      <w:r w:rsidRPr="003B1144">
        <w:rPr>
          <w:rFonts w:ascii="Poppins" w:hAnsi="Poppins" w:cs="Poppins"/>
          <w:b/>
          <w:bCs/>
          <w:sz w:val="16"/>
          <w:szCs w:val="16"/>
        </w:rPr>
        <w:t>condivisione di torri di telecomunicazione mobili ha</w:t>
      </w:r>
      <w:r w:rsidRPr="003B1144">
        <w:rPr>
          <w:rFonts w:ascii="Poppins" w:hAnsi="Poppins" w:cs="Poppins"/>
          <w:sz w:val="16"/>
          <w:szCs w:val="16"/>
        </w:rPr>
        <w:t xml:space="preserve">, infatti, </w:t>
      </w:r>
      <w:r w:rsidRPr="003B1144">
        <w:rPr>
          <w:rFonts w:ascii="Poppins" w:hAnsi="Poppins" w:cs="Poppins"/>
          <w:b/>
          <w:bCs/>
          <w:sz w:val="16"/>
          <w:szCs w:val="16"/>
        </w:rPr>
        <w:t>consentito di risparmiare</w:t>
      </w:r>
      <w:r w:rsidRPr="003B1144">
        <w:rPr>
          <w:rFonts w:ascii="Poppins" w:hAnsi="Poppins" w:cs="Poppins"/>
          <w:sz w:val="16"/>
          <w:szCs w:val="16"/>
        </w:rPr>
        <w:t xml:space="preserve"> </w:t>
      </w:r>
      <w:r w:rsidRPr="003B1144">
        <w:rPr>
          <w:rFonts w:ascii="Poppins" w:hAnsi="Poppins" w:cs="Poppins"/>
          <w:b/>
          <w:bCs/>
          <w:sz w:val="16"/>
          <w:szCs w:val="16"/>
        </w:rPr>
        <w:t>suolo e risorse</w:t>
      </w:r>
      <w:r w:rsidRPr="003B1144">
        <w:rPr>
          <w:rFonts w:ascii="Poppins" w:hAnsi="Poppins" w:cs="Poppins"/>
          <w:sz w:val="16"/>
          <w:szCs w:val="16"/>
        </w:rPr>
        <w:t xml:space="preserve"> materiali ed energetiche, limitando la costruzione di infrastrutture digitali aggiuntive </w:t>
      </w:r>
      <w:r w:rsidRPr="003B1144">
        <w:rPr>
          <w:rFonts w:ascii="Poppins" w:hAnsi="Poppins" w:cs="Poppins"/>
          <w:b/>
          <w:bCs/>
          <w:sz w:val="16"/>
          <w:szCs w:val="16"/>
        </w:rPr>
        <w:t>e,</w:t>
      </w:r>
      <w:r w:rsidRPr="003B1144">
        <w:rPr>
          <w:rFonts w:ascii="Poppins" w:hAnsi="Poppins" w:cs="Poppins"/>
          <w:sz w:val="16"/>
          <w:szCs w:val="16"/>
        </w:rPr>
        <w:t xml:space="preserve"> con esse, </w:t>
      </w:r>
      <w:r w:rsidRPr="003B1144">
        <w:rPr>
          <w:rFonts w:ascii="Poppins" w:hAnsi="Poppins" w:cs="Poppins"/>
          <w:b/>
          <w:bCs/>
          <w:sz w:val="16"/>
          <w:szCs w:val="16"/>
        </w:rPr>
        <w:t>di evitare l’emissione di oltre 2,5 milioni di tonnellate di CO</w:t>
      </w:r>
      <w:r w:rsidRPr="003B1144">
        <w:rPr>
          <w:rFonts w:ascii="Cambria Math" w:hAnsi="Cambria Math" w:cs="Cambria Math"/>
          <w:b/>
          <w:bCs/>
          <w:sz w:val="16"/>
          <w:szCs w:val="16"/>
        </w:rPr>
        <w:t>₂</w:t>
      </w:r>
      <w:r w:rsidRPr="003B1144">
        <w:rPr>
          <w:rFonts w:ascii="Poppins" w:hAnsi="Poppins" w:cs="Poppins"/>
          <w:b/>
          <w:bCs/>
          <w:sz w:val="16"/>
          <w:szCs w:val="16"/>
        </w:rPr>
        <w:t>,</w:t>
      </w:r>
      <w:r w:rsidRPr="003B1144">
        <w:rPr>
          <w:rFonts w:ascii="Poppins" w:hAnsi="Poppins" w:cs="Poppins"/>
          <w:sz w:val="16"/>
          <w:szCs w:val="16"/>
        </w:rPr>
        <w:t xml:space="preserve"> equivalenti a quelle di 1,7 milioni di voli intercontinentali Roma – New York.</w:t>
      </w:r>
    </w:p>
    <w:p w14:paraId="000D9DAF" w14:textId="77777777" w:rsidR="00FC61BA" w:rsidRPr="00ED3F0A" w:rsidRDefault="00FC61BA" w:rsidP="00FC61BA">
      <w:pPr>
        <w:jc w:val="both"/>
        <w:rPr>
          <w:rFonts w:ascii="Poppins" w:hAnsi="Poppins" w:cs="Poppins"/>
          <w:sz w:val="8"/>
          <w:szCs w:val="8"/>
        </w:rPr>
      </w:pPr>
    </w:p>
    <w:p w14:paraId="2566FB26" w14:textId="77777777" w:rsidR="00FC61BA" w:rsidRPr="003B1144" w:rsidRDefault="00FC61BA" w:rsidP="00FC61BA">
      <w:pPr>
        <w:jc w:val="both"/>
        <w:rPr>
          <w:rFonts w:ascii="Poppins" w:hAnsi="Poppins" w:cs="Poppins"/>
          <w:sz w:val="16"/>
          <w:szCs w:val="16"/>
        </w:rPr>
      </w:pPr>
      <w:r w:rsidRPr="003B1144">
        <w:rPr>
          <w:rFonts w:ascii="Poppins" w:hAnsi="Poppins" w:cs="Poppins"/>
          <w:sz w:val="16"/>
          <w:szCs w:val="16"/>
        </w:rPr>
        <w:t xml:space="preserve">La conferma di questi </w:t>
      </w:r>
      <w:r w:rsidRPr="003B1144">
        <w:rPr>
          <w:rFonts w:ascii="Poppins" w:hAnsi="Poppins" w:cs="Poppins"/>
          <w:b/>
          <w:bCs/>
          <w:sz w:val="16"/>
          <w:szCs w:val="16"/>
        </w:rPr>
        <w:t>importanti</w:t>
      </w:r>
      <w:r w:rsidRPr="003B1144">
        <w:rPr>
          <w:rFonts w:ascii="Poppins" w:hAnsi="Poppins" w:cs="Poppins"/>
          <w:sz w:val="16"/>
          <w:szCs w:val="16"/>
        </w:rPr>
        <w:t xml:space="preserve"> </w:t>
      </w:r>
      <w:r w:rsidRPr="003B1144">
        <w:rPr>
          <w:rFonts w:ascii="Poppins" w:hAnsi="Poppins" w:cs="Poppins"/>
          <w:b/>
          <w:bCs/>
          <w:sz w:val="16"/>
          <w:szCs w:val="16"/>
        </w:rPr>
        <w:t>benefici economici per il settore telco,</w:t>
      </w:r>
      <w:r w:rsidRPr="003B1144">
        <w:rPr>
          <w:rFonts w:ascii="Poppins" w:hAnsi="Poppins" w:cs="Poppins"/>
          <w:sz w:val="16"/>
          <w:szCs w:val="16"/>
        </w:rPr>
        <w:t xml:space="preserve"> </w:t>
      </w:r>
      <w:r w:rsidRPr="003B1144">
        <w:rPr>
          <w:rFonts w:ascii="Poppins" w:hAnsi="Poppins" w:cs="Poppins"/>
          <w:b/>
          <w:bCs/>
          <w:sz w:val="16"/>
          <w:szCs w:val="16"/>
        </w:rPr>
        <w:t>ai quali INWIT ha contribuito per circa il 50%,</w:t>
      </w:r>
      <w:r w:rsidRPr="003B1144">
        <w:rPr>
          <w:rFonts w:ascii="Poppins" w:hAnsi="Poppins" w:cs="Poppins"/>
          <w:sz w:val="16"/>
          <w:szCs w:val="16"/>
        </w:rPr>
        <w:t xml:space="preserve"> arriva dallo </w:t>
      </w:r>
      <w:r w:rsidRPr="003B1144">
        <w:rPr>
          <w:rFonts w:ascii="Poppins" w:hAnsi="Poppins" w:cs="Poppins"/>
          <w:b/>
          <w:bCs/>
          <w:sz w:val="16"/>
          <w:szCs w:val="16"/>
        </w:rPr>
        <w:t>Studio “Il valore di INWIT per l’Italia</w:t>
      </w:r>
      <w:r w:rsidRPr="003B1144">
        <w:rPr>
          <w:rFonts w:ascii="Poppins" w:hAnsi="Poppins" w:cs="Poppins"/>
          <w:sz w:val="16"/>
          <w:szCs w:val="16"/>
        </w:rPr>
        <w:t xml:space="preserve">”, condotto per INWIT da </w:t>
      </w:r>
      <w:r w:rsidRPr="003B1144">
        <w:rPr>
          <w:rFonts w:ascii="Poppins" w:hAnsi="Poppins" w:cs="Poppins"/>
          <w:b/>
          <w:bCs/>
          <w:sz w:val="16"/>
          <w:szCs w:val="16"/>
        </w:rPr>
        <w:t>The European House Ambrosetti</w:t>
      </w:r>
      <w:r w:rsidRPr="003B1144">
        <w:rPr>
          <w:rFonts w:ascii="Poppins" w:hAnsi="Poppins" w:cs="Poppins"/>
          <w:sz w:val="16"/>
          <w:szCs w:val="16"/>
        </w:rPr>
        <w:t xml:space="preserve"> (TEHA Group), che misura gli impatti sui territori</w:t>
      </w:r>
      <w:r w:rsidRPr="003B1144">
        <w:rPr>
          <w:rFonts w:ascii="Times New Roman" w:hAnsi="Times New Roman"/>
          <w:sz w:val="16"/>
          <w:szCs w:val="16"/>
        </w:rPr>
        <w:t>​</w:t>
      </w:r>
      <w:r w:rsidRPr="003B1144">
        <w:rPr>
          <w:rFonts w:ascii="Poppins" w:hAnsi="Poppins" w:cs="Poppins"/>
          <w:sz w:val="16"/>
          <w:szCs w:val="16"/>
        </w:rPr>
        <w:t xml:space="preserve"> del primo tower operator e tra le principali digital infrastructure company in Italia. Lo studio è stato presentato oggi nel corso del</w:t>
      </w:r>
      <w:r w:rsidRPr="003B1144">
        <w:rPr>
          <w:rFonts w:ascii="Poppins" w:hAnsi="Poppins" w:cs="Poppins"/>
          <w:b/>
          <w:bCs/>
          <w:sz w:val="16"/>
          <w:szCs w:val="16"/>
        </w:rPr>
        <w:t xml:space="preserve"> Sustainability Day 2025</w:t>
      </w:r>
      <w:r w:rsidRPr="003B1144">
        <w:rPr>
          <w:rFonts w:ascii="Poppins" w:hAnsi="Poppins" w:cs="Poppins"/>
          <w:sz w:val="16"/>
          <w:szCs w:val="16"/>
        </w:rPr>
        <w:t>, l’evento organizzato annualmente da INWIT per confrontarsi con i propri stakeholder sul ruolo delle infrastrutture digitali e condivise e del valore che queste generano per l’Italia.</w:t>
      </w:r>
    </w:p>
    <w:p w14:paraId="4D19DB8F" w14:textId="77777777" w:rsidR="003B1144" w:rsidRPr="00ED3F0A" w:rsidRDefault="003B1144" w:rsidP="00FC61BA">
      <w:pPr>
        <w:jc w:val="both"/>
        <w:rPr>
          <w:rFonts w:ascii="Poppins" w:hAnsi="Poppins" w:cs="Poppins"/>
          <w:sz w:val="8"/>
          <w:szCs w:val="8"/>
        </w:rPr>
      </w:pPr>
    </w:p>
    <w:p w14:paraId="3C6F33E3" w14:textId="77777777" w:rsidR="0052458B" w:rsidRDefault="003B1144" w:rsidP="003B1144">
      <w:pPr>
        <w:jc w:val="both"/>
        <w:rPr>
          <w:rFonts w:ascii="Poppins" w:hAnsi="Poppins" w:cs="Poppins"/>
          <w:b/>
          <w:bCs/>
          <w:sz w:val="16"/>
          <w:szCs w:val="16"/>
        </w:rPr>
      </w:pPr>
      <w:r w:rsidRPr="003B1144">
        <w:rPr>
          <w:rFonts w:ascii="Poppins" w:hAnsi="Poppins" w:cs="Poppins"/>
          <w:sz w:val="16"/>
          <w:szCs w:val="16"/>
        </w:rPr>
        <w:t xml:space="preserve">Secondo lo Studio, il modello di business di INWIT, basato su infrastrutture digitali mobili e multi-operatore, genera un </w:t>
      </w:r>
      <w:r w:rsidRPr="003B1144">
        <w:rPr>
          <w:rFonts w:ascii="Poppins" w:hAnsi="Poppins" w:cs="Poppins"/>
          <w:b/>
          <w:bCs/>
          <w:sz w:val="16"/>
          <w:szCs w:val="16"/>
        </w:rPr>
        <w:t xml:space="preserve">impatto positivo sulla filiera e nel Paese. </w:t>
      </w:r>
      <w:r w:rsidRPr="003B1144">
        <w:rPr>
          <w:rFonts w:ascii="Poppins" w:hAnsi="Poppins" w:cs="Poppins"/>
          <w:sz w:val="16"/>
          <w:szCs w:val="16"/>
        </w:rPr>
        <w:t xml:space="preserve">Tenendo conto dell’attivazione economica lungo l’intera filiera, l’azienda ha generato un </w:t>
      </w:r>
      <w:r w:rsidRPr="003B1144">
        <w:rPr>
          <w:rFonts w:ascii="Poppins" w:hAnsi="Poppins" w:cs="Poppins"/>
          <w:b/>
          <w:bCs/>
          <w:sz w:val="16"/>
          <w:szCs w:val="16"/>
        </w:rPr>
        <w:t>impatto complessivo</w:t>
      </w:r>
      <w:r w:rsidRPr="003B1144">
        <w:rPr>
          <w:rFonts w:ascii="Poppins" w:hAnsi="Poppins" w:cs="Poppins"/>
          <w:sz w:val="16"/>
          <w:szCs w:val="16"/>
        </w:rPr>
        <w:t xml:space="preserve"> sul </w:t>
      </w:r>
      <w:r w:rsidRPr="003B1144">
        <w:rPr>
          <w:rFonts w:ascii="Poppins" w:hAnsi="Poppins" w:cs="Poppins"/>
          <w:b/>
          <w:bCs/>
          <w:sz w:val="16"/>
          <w:szCs w:val="16"/>
        </w:rPr>
        <w:t>PIL</w:t>
      </w:r>
      <w:r w:rsidRPr="003B1144">
        <w:rPr>
          <w:rFonts w:ascii="Poppins" w:hAnsi="Poppins" w:cs="Poppins"/>
          <w:sz w:val="16"/>
          <w:szCs w:val="16"/>
        </w:rPr>
        <w:t xml:space="preserve"> </w:t>
      </w:r>
      <w:r w:rsidRPr="003B1144">
        <w:rPr>
          <w:rFonts w:ascii="Poppins" w:hAnsi="Poppins" w:cs="Poppins"/>
          <w:b/>
          <w:bCs/>
          <w:sz w:val="16"/>
          <w:szCs w:val="16"/>
        </w:rPr>
        <w:t>italiano</w:t>
      </w:r>
      <w:r w:rsidRPr="003B1144">
        <w:rPr>
          <w:rFonts w:ascii="Poppins" w:hAnsi="Poppins" w:cs="Poppins"/>
          <w:sz w:val="16"/>
          <w:szCs w:val="16"/>
        </w:rPr>
        <w:t xml:space="preserve"> di circa </w:t>
      </w:r>
      <w:r w:rsidRPr="003B1144">
        <w:rPr>
          <w:rFonts w:ascii="Poppins" w:hAnsi="Poppins" w:cs="Poppins"/>
          <w:b/>
          <w:bCs/>
          <w:sz w:val="16"/>
          <w:szCs w:val="16"/>
        </w:rPr>
        <w:t>1,3 miliardi di euro nel solo 2024 ed un impatto cumulato nel periodo 2020-2024 pari a 5,3 miliardi di euro</w:t>
      </w:r>
      <w:r w:rsidRPr="003B1144">
        <w:rPr>
          <w:rFonts w:ascii="Poppins" w:hAnsi="Poppins" w:cs="Poppins"/>
          <w:sz w:val="16"/>
          <w:szCs w:val="16"/>
        </w:rPr>
        <w:t xml:space="preserve">. </w:t>
      </w:r>
      <w:r w:rsidR="006A1E59" w:rsidRPr="00E34389">
        <w:rPr>
          <w:rFonts w:ascii="Poppins" w:hAnsi="Poppins" w:cs="Poppins"/>
          <w:sz w:val="16"/>
          <w:szCs w:val="16"/>
        </w:rPr>
        <w:t xml:space="preserve">Questa traiettoria di crescita è stata sostenuta da un impegno crescente in termini di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investimenti</w:t>
      </w:r>
      <w:r w:rsidR="006A1E59" w:rsidRPr="00E34389">
        <w:rPr>
          <w:rFonts w:ascii="Poppins" w:hAnsi="Poppins" w:cs="Poppins"/>
          <w:sz w:val="16"/>
          <w:szCs w:val="16"/>
        </w:rPr>
        <w:t xml:space="preserve">, con un focus mirato sullo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sviluppo</w:t>
      </w:r>
      <w:r w:rsidR="006A1E59" w:rsidRPr="00E34389">
        <w:rPr>
          <w:rFonts w:ascii="Poppins" w:hAnsi="Poppins" w:cs="Poppins"/>
          <w:sz w:val="16"/>
          <w:szCs w:val="16"/>
        </w:rPr>
        <w:t xml:space="preserve"> della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rete</w:t>
      </w:r>
      <w:r w:rsidR="006A1E59" w:rsidRPr="00E34389">
        <w:rPr>
          <w:rFonts w:ascii="Poppins" w:hAnsi="Poppins" w:cs="Poppins"/>
          <w:sz w:val="16"/>
          <w:szCs w:val="16"/>
        </w:rPr>
        <w:t xml:space="preserve">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infrastrutturale</w:t>
      </w:r>
      <w:r w:rsidR="006A1E59" w:rsidRPr="00E34389">
        <w:rPr>
          <w:rFonts w:ascii="Poppins" w:hAnsi="Poppins" w:cs="Poppins"/>
          <w:sz w:val="16"/>
          <w:szCs w:val="16"/>
        </w:rPr>
        <w:t xml:space="preserve">, sulla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digitalizzazione</w:t>
      </w:r>
      <w:r w:rsidR="006A1E59" w:rsidRPr="00E34389">
        <w:rPr>
          <w:rFonts w:ascii="Poppins" w:hAnsi="Poppins" w:cs="Poppins"/>
          <w:sz w:val="16"/>
          <w:szCs w:val="16"/>
        </w:rPr>
        <w:t xml:space="preserve"> e sull’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innovazione tecnologica</w:t>
      </w:r>
      <w:r w:rsidR="006A1E59" w:rsidRPr="00E34389">
        <w:rPr>
          <w:rFonts w:ascii="Poppins" w:hAnsi="Poppins" w:cs="Poppins"/>
          <w:sz w:val="16"/>
          <w:szCs w:val="16"/>
        </w:rPr>
        <w:t xml:space="preserve">.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Tra il 2015 e il 2024,</w:t>
      </w:r>
      <w:r w:rsidR="006A1E59" w:rsidRPr="00E34389">
        <w:rPr>
          <w:rFonts w:ascii="Poppins" w:hAnsi="Poppins" w:cs="Poppins"/>
          <w:sz w:val="16"/>
          <w:szCs w:val="16"/>
        </w:rPr>
        <w:t xml:space="preserve"> gli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>investimenti</w:t>
      </w:r>
      <w:r w:rsidR="006A1E59" w:rsidRPr="00E34389">
        <w:rPr>
          <w:rFonts w:ascii="Poppins" w:hAnsi="Poppins" w:cs="Poppins"/>
          <w:sz w:val="16"/>
          <w:szCs w:val="16"/>
        </w:rPr>
        <w:t xml:space="preserve"> cumulati di INWIT in Italia hanno raggiunto </w:t>
      </w:r>
      <w:r w:rsidR="006A1E59" w:rsidRPr="00E34389">
        <w:rPr>
          <w:rFonts w:ascii="Poppins" w:hAnsi="Poppins" w:cs="Poppins"/>
          <w:b/>
          <w:bCs/>
          <w:sz w:val="16"/>
          <w:szCs w:val="16"/>
        </w:rPr>
        <w:t xml:space="preserve">1,4 miliardi </w:t>
      </w:r>
    </w:p>
    <w:p w14:paraId="07FDDF0A" w14:textId="77777777" w:rsidR="0052458B" w:rsidRDefault="0052458B" w:rsidP="003B1144">
      <w:pPr>
        <w:jc w:val="both"/>
        <w:rPr>
          <w:rFonts w:ascii="Poppins" w:hAnsi="Poppins" w:cs="Poppins"/>
          <w:b/>
          <w:bCs/>
          <w:sz w:val="16"/>
          <w:szCs w:val="16"/>
        </w:rPr>
      </w:pPr>
    </w:p>
    <w:p w14:paraId="1FA30345" w14:textId="77777777" w:rsidR="0052458B" w:rsidRDefault="0052458B" w:rsidP="003B1144">
      <w:pPr>
        <w:jc w:val="both"/>
        <w:rPr>
          <w:rFonts w:ascii="Poppins" w:hAnsi="Poppins" w:cs="Poppins"/>
          <w:b/>
          <w:bCs/>
          <w:sz w:val="16"/>
          <w:szCs w:val="16"/>
        </w:rPr>
      </w:pPr>
    </w:p>
    <w:p w14:paraId="27183379" w14:textId="77777777" w:rsidR="00ED3F0A" w:rsidRDefault="00ED3F0A" w:rsidP="003B1144">
      <w:pPr>
        <w:jc w:val="both"/>
        <w:rPr>
          <w:rFonts w:ascii="Poppins" w:hAnsi="Poppins" w:cs="Poppins"/>
          <w:b/>
          <w:bCs/>
          <w:sz w:val="16"/>
          <w:szCs w:val="16"/>
        </w:rPr>
      </w:pPr>
    </w:p>
    <w:p w14:paraId="7E26152F" w14:textId="1B1C488E" w:rsidR="0052458B" w:rsidRDefault="006A1E59" w:rsidP="003B1144">
      <w:pPr>
        <w:jc w:val="both"/>
        <w:rPr>
          <w:rFonts w:ascii="Poppins" w:hAnsi="Poppins" w:cs="Poppins"/>
          <w:sz w:val="16"/>
          <w:szCs w:val="16"/>
        </w:rPr>
      </w:pPr>
      <w:r w:rsidRPr="00E34389">
        <w:rPr>
          <w:rFonts w:ascii="Poppins" w:hAnsi="Poppins" w:cs="Poppins"/>
          <w:b/>
          <w:bCs/>
          <w:sz w:val="16"/>
          <w:szCs w:val="16"/>
        </w:rPr>
        <w:t>di euro</w:t>
      </w:r>
      <w:r w:rsidRPr="00E34389">
        <w:rPr>
          <w:rFonts w:ascii="Poppins" w:hAnsi="Poppins" w:cs="Poppins"/>
          <w:sz w:val="16"/>
          <w:szCs w:val="16"/>
        </w:rPr>
        <w:t xml:space="preserve">, con </w:t>
      </w:r>
      <w:r w:rsidRPr="00E34389">
        <w:rPr>
          <w:rFonts w:ascii="Poppins" w:hAnsi="Poppins" w:cs="Poppins"/>
          <w:b/>
          <w:bCs/>
          <w:sz w:val="16"/>
          <w:szCs w:val="16"/>
        </w:rPr>
        <w:t>ulteriori 1,5 miliardi di euro</w:t>
      </w:r>
      <w:r w:rsidRPr="00E34389">
        <w:rPr>
          <w:rFonts w:ascii="Poppins" w:hAnsi="Poppins" w:cs="Poppins"/>
          <w:sz w:val="16"/>
          <w:szCs w:val="16"/>
        </w:rPr>
        <w:t xml:space="preserve"> previsti </w:t>
      </w:r>
      <w:r w:rsidRPr="00E34389">
        <w:rPr>
          <w:rFonts w:ascii="Poppins" w:hAnsi="Poppins" w:cs="Poppins"/>
          <w:b/>
          <w:bCs/>
          <w:sz w:val="16"/>
          <w:szCs w:val="16"/>
        </w:rPr>
        <w:t>nel</w:t>
      </w:r>
      <w:r w:rsidRPr="00E34389">
        <w:rPr>
          <w:rFonts w:ascii="Poppins" w:hAnsi="Poppins" w:cs="Poppins"/>
          <w:sz w:val="16"/>
          <w:szCs w:val="16"/>
        </w:rPr>
        <w:t xml:space="preserve"> periodo </w:t>
      </w:r>
      <w:r w:rsidRPr="00E34389">
        <w:rPr>
          <w:rFonts w:ascii="Poppins" w:hAnsi="Poppins" w:cs="Poppins"/>
          <w:b/>
          <w:bCs/>
          <w:sz w:val="16"/>
          <w:szCs w:val="16"/>
        </w:rPr>
        <w:t>2025–2030</w:t>
      </w:r>
      <w:r w:rsidRPr="00E34389">
        <w:rPr>
          <w:rFonts w:ascii="Poppins" w:hAnsi="Poppins" w:cs="Poppins"/>
          <w:sz w:val="16"/>
          <w:szCs w:val="16"/>
        </w:rPr>
        <w:t xml:space="preserve">, per un </w:t>
      </w:r>
      <w:r w:rsidRPr="00E34389">
        <w:rPr>
          <w:rFonts w:ascii="Poppins" w:hAnsi="Poppins" w:cs="Poppins"/>
          <w:b/>
          <w:bCs/>
          <w:sz w:val="16"/>
          <w:szCs w:val="16"/>
        </w:rPr>
        <w:t>totale</w:t>
      </w:r>
      <w:r w:rsidRPr="00E34389">
        <w:rPr>
          <w:rFonts w:ascii="Poppins" w:hAnsi="Poppins" w:cs="Poppins"/>
          <w:sz w:val="16"/>
          <w:szCs w:val="16"/>
        </w:rPr>
        <w:t xml:space="preserve"> complessivo di circa </w:t>
      </w:r>
      <w:r w:rsidRPr="00E34389">
        <w:rPr>
          <w:rFonts w:ascii="Poppins" w:hAnsi="Poppins" w:cs="Poppins"/>
          <w:b/>
          <w:bCs/>
          <w:sz w:val="16"/>
          <w:szCs w:val="16"/>
        </w:rPr>
        <w:t>2,9 miliardi di euro nel periodo 2015-2030</w:t>
      </w:r>
      <w:r w:rsidRPr="00E34389">
        <w:rPr>
          <w:rFonts w:ascii="Poppins" w:hAnsi="Poppins" w:cs="Poppins"/>
          <w:sz w:val="16"/>
          <w:szCs w:val="16"/>
        </w:rPr>
        <w:t xml:space="preserve">. </w:t>
      </w:r>
    </w:p>
    <w:p w14:paraId="28D77A7E" w14:textId="77777777" w:rsidR="00ED3F0A" w:rsidRPr="00ED3F0A" w:rsidRDefault="00ED3F0A" w:rsidP="003B1144">
      <w:pPr>
        <w:jc w:val="both"/>
        <w:rPr>
          <w:rFonts w:ascii="Poppins" w:hAnsi="Poppins" w:cs="Poppins"/>
          <w:sz w:val="8"/>
          <w:szCs w:val="8"/>
        </w:rPr>
      </w:pPr>
    </w:p>
    <w:p w14:paraId="3FEE6ABB" w14:textId="667B7229" w:rsidR="003B1144" w:rsidRPr="003B1144" w:rsidRDefault="003B1144" w:rsidP="003B1144">
      <w:pPr>
        <w:jc w:val="both"/>
        <w:rPr>
          <w:rFonts w:ascii="Poppins" w:hAnsi="Poppins" w:cs="Poppins"/>
          <w:sz w:val="16"/>
          <w:szCs w:val="16"/>
        </w:rPr>
      </w:pPr>
      <w:r w:rsidRPr="003B1144">
        <w:rPr>
          <w:rFonts w:ascii="Poppins" w:hAnsi="Poppins" w:cs="Poppins"/>
          <w:sz w:val="16"/>
          <w:szCs w:val="16"/>
        </w:rPr>
        <w:t xml:space="preserve">Per quanto riguarda il </w:t>
      </w:r>
      <w:r w:rsidRPr="003B1144">
        <w:rPr>
          <w:rFonts w:ascii="Poppins" w:hAnsi="Poppins" w:cs="Poppins"/>
          <w:b/>
          <w:bCs/>
          <w:sz w:val="16"/>
          <w:szCs w:val="16"/>
        </w:rPr>
        <w:t>contributo all’occupazione</w:t>
      </w:r>
      <w:r w:rsidRPr="003B1144">
        <w:rPr>
          <w:rFonts w:ascii="Poppins" w:hAnsi="Poppins" w:cs="Poppins"/>
          <w:sz w:val="16"/>
          <w:szCs w:val="16"/>
        </w:rPr>
        <w:t xml:space="preserve">, </w:t>
      </w:r>
      <w:r w:rsidRPr="003B1144">
        <w:rPr>
          <w:rFonts w:ascii="Poppins" w:hAnsi="Poppins" w:cs="Poppins"/>
          <w:b/>
          <w:bCs/>
          <w:sz w:val="16"/>
          <w:szCs w:val="16"/>
        </w:rPr>
        <w:t>nel 2024 INWIT ha sostenuto</w:t>
      </w:r>
      <w:r w:rsidRPr="003B1144">
        <w:rPr>
          <w:rFonts w:ascii="Poppins" w:hAnsi="Poppins" w:cs="Poppins"/>
          <w:sz w:val="16"/>
          <w:szCs w:val="16"/>
        </w:rPr>
        <w:t xml:space="preserve"> un totale di circa </w:t>
      </w:r>
      <w:r w:rsidRPr="003B1144">
        <w:rPr>
          <w:rFonts w:ascii="Poppins" w:hAnsi="Poppins" w:cs="Poppins"/>
          <w:b/>
          <w:bCs/>
          <w:sz w:val="16"/>
          <w:szCs w:val="16"/>
        </w:rPr>
        <w:t>3.200 posti di lavoro in Italia</w:t>
      </w:r>
      <w:r w:rsidRPr="003B1144">
        <w:rPr>
          <w:rFonts w:ascii="Poppins" w:hAnsi="Poppins" w:cs="Poppins"/>
          <w:sz w:val="16"/>
          <w:szCs w:val="16"/>
        </w:rPr>
        <w:t xml:space="preserve">, con un </w:t>
      </w:r>
      <w:r w:rsidRPr="003B1144">
        <w:rPr>
          <w:rFonts w:ascii="Poppins" w:hAnsi="Poppins" w:cs="Poppins"/>
          <w:b/>
          <w:bCs/>
          <w:sz w:val="16"/>
          <w:szCs w:val="16"/>
        </w:rPr>
        <w:t>moltiplicatore occupazionale pari a 9,7x</w:t>
      </w:r>
      <w:r w:rsidRPr="003B1144">
        <w:rPr>
          <w:rFonts w:ascii="Poppins" w:hAnsi="Poppins" w:cs="Poppins"/>
          <w:sz w:val="16"/>
          <w:szCs w:val="16"/>
        </w:rPr>
        <w:t>: per ogni dipendente diretto, vengono attivati ulteriori 8,7 posti di lavoro lungo le filiere economiche collegate.</w:t>
      </w:r>
    </w:p>
    <w:p w14:paraId="5B665762" w14:textId="77777777" w:rsidR="00B44AE6" w:rsidRPr="00ED3F0A" w:rsidRDefault="00B44AE6" w:rsidP="003E7373">
      <w:pPr>
        <w:contextualSpacing/>
        <w:jc w:val="both"/>
        <w:rPr>
          <w:rFonts w:ascii="Poppins" w:hAnsi="Poppins" w:cs="Poppins"/>
          <w:sz w:val="8"/>
          <w:szCs w:val="8"/>
        </w:rPr>
      </w:pPr>
    </w:p>
    <w:p w14:paraId="42FDF562" w14:textId="2DB8DA17" w:rsidR="003E7373" w:rsidRPr="00214E2B" w:rsidRDefault="003E7373" w:rsidP="003E7373">
      <w:pPr>
        <w:contextualSpacing/>
        <w:jc w:val="both"/>
        <w:rPr>
          <w:rFonts w:ascii="Poppins" w:eastAsiaTheme="minorHAnsi" w:hAnsi="Poppins" w:cs="Poppins"/>
          <w:sz w:val="16"/>
          <w:szCs w:val="16"/>
          <w:lang w:eastAsia="it-IT"/>
        </w:rPr>
      </w:pPr>
      <w:r w:rsidRPr="00F210CE">
        <w:rPr>
          <w:rFonts w:ascii="Poppins" w:hAnsi="Poppins" w:cs="Poppins"/>
          <w:sz w:val="16"/>
          <w:szCs w:val="16"/>
        </w:rPr>
        <w:t xml:space="preserve">L’incontro ha visto la partecipazione di </w:t>
      </w:r>
      <w:r w:rsidRPr="00F210CE">
        <w:rPr>
          <w:rFonts w:ascii="Poppins" w:hAnsi="Poppins" w:cs="Poppins"/>
          <w:b/>
          <w:bCs/>
          <w:sz w:val="16"/>
          <w:szCs w:val="16"/>
        </w:rPr>
        <w:t>Simona Branchetti</w:t>
      </w:r>
      <w:r w:rsidRPr="00F210CE">
        <w:rPr>
          <w:rFonts w:ascii="Poppins" w:hAnsi="Poppins" w:cs="Poppins"/>
          <w:sz w:val="16"/>
          <w:szCs w:val="16"/>
        </w:rPr>
        <w:t xml:space="preserve">, giornalista TG5, </w:t>
      </w:r>
      <w:r w:rsidRPr="00F210CE">
        <w:rPr>
          <w:rFonts w:ascii="Poppins" w:hAnsi="Poppins" w:cs="Poppins"/>
          <w:b/>
          <w:bCs/>
          <w:sz w:val="16"/>
          <w:szCs w:val="16"/>
        </w:rPr>
        <w:t xml:space="preserve">Laura Cavatorta, </w:t>
      </w:r>
      <w:r w:rsidR="005C7A8D" w:rsidRPr="005C7A8D">
        <w:rPr>
          <w:rFonts w:ascii="Poppins" w:hAnsi="Poppins" w:cs="Poppins"/>
          <w:sz w:val="16"/>
          <w:szCs w:val="16"/>
        </w:rPr>
        <w:t>Comitato Controllo, Rischi e Sostenibilità SNAM</w:t>
      </w:r>
      <w:r w:rsidRPr="00F210CE">
        <w:rPr>
          <w:rFonts w:ascii="Poppins" w:hAnsi="Poppins" w:cs="Poppins"/>
          <w:sz w:val="16"/>
          <w:szCs w:val="16"/>
        </w:rPr>
        <w:t xml:space="preserve">, </w:t>
      </w:r>
      <w:r w:rsidRPr="00F210CE">
        <w:rPr>
          <w:rFonts w:ascii="Poppins" w:hAnsi="Poppins" w:cs="Poppins"/>
          <w:b/>
          <w:bCs/>
          <w:sz w:val="16"/>
          <w:szCs w:val="16"/>
        </w:rPr>
        <w:t>Oscar Cicchetti</w:t>
      </w:r>
      <w:r w:rsidRPr="00F210CE">
        <w:rPr>
          <w:rFonts w:ascii="Poppins" w:hAnsi="Poppins" w:cs="Poppins"/>
          <w:sz w:val="16"/>
          <w:szCs w:val="16"/>
        </w:rPr>
        <w:t xml:space="preserve">, Presidente INWIT, </w:t>
      </w:r>
      <w:r w:rsidRPr="00F210CE">
        <w:rPr>
          <w:rFonts w:ascii="Poppins" w:hAnsi="Poppins" w:cs="Poppins"/>
          <w:b/>
          <w:bCs/>
          <w:sz w:val="16"/>
          <w:szCs w:val="16"/>
        </w:rPr>
        <w:t>On. Tullio Ferrante</w:t>
      </w:r>
      <w:r w:rsidRPr="00F210CE">
        <w:rPr>
          <w:rFonts w:ascii="Poppins" w:hAnsi="Poppins" w:cs="Poppins"/>
          <w:sz w:val="16"/>
          <w:szCs w:val="16"/>
        </w:rPr>
        <w:t xml:space="preserve">, Sottosegretario di Stato-Ministero delle Infrastrutture e dei Trasporti, </w:t>
      </w:r>
      <w:r w:rsidRPr="00F210CE">
        <w:rPr>
          <w:rFonts w:ascii="Poppins" w:hAnsi="Poppins" w:cs="Poppins"/>
          <w:b/>
          <w:bCs/>
          <w:sz w:val="16"/>
          <w:szCs w:val="16"/>
        </w:rPr>
        <w:t>Diego Galli,</w:t>
      </w:r>
      <w:r w:rsidRPr="00F210CE">
        <w:rPr>
          <w:rFonts w:ascii="Poppins" w:hAnsi="Poppins" w:cs="Poppins"/>
          <w:sz w:val="16"/>
          <w:szCs w:val="16"/>
        </w:rPr>
        <w:t xml:space="preserve"> Direttore Generale INWIT, </w:t>
      </w:r>
      <w:r w:rsidRPr="00F210CE">
        <w:rPr>
          <w:rFonts w:ascii="Poppins" w:hAnsi="Poppins" w:cs="Poppins"/>
          <w:b/>
          <w:bCs/>
          <w:sz w:val="16"/>
          <w:szCs w:val="16"/>
        </w:rPr>
        <w:t xml:space="preserve">Federico Gori, </w:t>
      </w:r>
      <w:r w:rsidRPr="00F210CE">
        <w:rPr>
          <w:rFonts w:ascii="Poppins" w:hAnsi="Poppins" w:cs="Poppins"/>
          <w:sz w:val="16"/>
          <w:szCs w:val="16"/>
        </w:rPr>
        <w:t xml:space="preserve">Presidente ANCI Umbria e Sindaco Montecchio (TR), </w:t>
      </w:r>
      <w:r w:rsidRPr="00F210CE">
        <w:rPr>
          <w:rFonts w:ascii="Poppins" w:hAnsi="Poppins" w:cs="Poppins"/>
          <w:b/>
          <w:bCs/>
          <w:sz w:val="16"/>
          <w:szCs w:val="16"/>
        </w:rPr>
        <w:t>Gianni Letta</w:t>
      </w:r>
      <w:r w:rsidRPr="00F210CE">
        <w:rPr>
          <w:rFonts w:ascii="Poppins" w:hAnsi="Poppins" w:cs="Poppins"/>
          <w:sz w:val="16"/>
          <w:szCs w:val="16"/>
        </w:rPr>
        <w:t>,</w:t>
      </w:r>
      <w:r w:rsidRPr="00F210CE">
        <w:rPr>
          <w:rFonts w:ascii="Poppins" w:hAnsi="Poppins" w:cs="Poppins"/>
          <w:b/>
          <w:bCs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 xml:space="preserve">Presidente Associazione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 xml:space="preserve">Civita,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b/>
          <w:bCs/>
          <w:sz w:val="16"/>
          <w:szCs w:val="16"/>
        </w:rPr>
        <w:t>Monica Lucarelli</w:t>
      </w:r>
      <w:r w:rsidRPr="00F210CE">
        <w:rPr>
          <w:rFonts w:ascii="Poppins" w:hAnsi="Poppins" w:cs="Poppins"/>
          <w:sz w:val="16"/>
          <w:szCs w:val="16"/>
        </w:rPr>
        <w:t xml:space="preserve">,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 xml:space="preserve">Assessora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 xml:space="preserve">sviluppo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 xml:space="preserve">economico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 xml:space="preserve">e 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>pari opportunità Roma</w:t>
      </w:r>
      <w:r w:rsidR="00AF6BDC"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sz w:val="16"/>
          <w:szCs w:val="16"/>
        </w:rPr>
        <w:t>Capitale</w:t>
      </w:r>
      <w:r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, </w:t>
      </w:r>
      <w:r w:rsidR="00C412EB"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On. </w:t>
      </w:r>
      <w:r w:rsidR="00C412EB" w:rsidRPr="00214E2B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>Federico Mollicone</w:t>
      </w:r>
      <w:r w:rsidR="00C412EB" w:rsidRPr="00F210CE">
        <w:rPr>
          <w:rFonts w:ascii="Poppins" w:eastAsiaTheme="minorHAnsi" w:hAnsi="Poppins" w:cs="Poppins"/>
          <w:sz w:val="16"/>
          <w:szCs w:val="16"/>
          <w:lang w:eastAsia="it-IT"/>
        </w:rPr>
        <w:t>, Presidente</w:t>
      </w:r>
      <w:r w:rsidR="00C51215"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 VII</w:t>
      </w:r>
      <w:r w:rsidR="00C412EB"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 </w:t>
      </w:r>
      <w:r w:rsidR="00C83407" w:rsidRPr="00F210CE">
        <w:rPr>
          <w:rFonts w:ascii="Poppins" w:eastAsiaTheme="minorHAnsi" w:hAnsi="Poppins" w:cs="Poppins"/>
          <w:sz w:val="16"/>
          <w:szCs w:val="16"/>
          <w:lang w:eastAsia="it-IT"/>
        </w:rPr>
        <w:t>Commissione</w:t>
      </w:r>
      <w:r w:rsidR="00C51215"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 Cultura, Scienza e Istruzione Camera dei Deputati</w:t>
      </w:r>
      <w:r w:rsidR="00214E2B">
        <w:rPr>
          <w:rFonts w:ascii="Poppins" w:eastAsiaTheme="minorHAnsi" w:hAnsi="Poppins" w:cs="Poppins"/>
          <w:sz w:val="16"/>
          <w:szCs w:val="16"/>
          <w:lang w:eastAsia="it-IT"/>
        </w:rPr>
        <w:t xml:space="preserve">, </w:t>
      </w:r>
      <w:r w:rsidRPr="00F210CE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>Antonella Sberna</w:t>
      </w:r>
      <w:r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, Vicepresidente Parlamento Europeo, </w:t>
      </w:r>
      <w:r w:rsidRPr="00F210CE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>Giulia Staderini</w:t>
      </w:r>
      <w:r w:rsidRPr="00F210CE">
        <w:rPr>
          <w:rFonts w:ascii="Poppins" w:eastAsiaTheme="minorHAnsi" w:hAnsi="Poppins" w:cs="Poppins"/>
          <w:sz w:val="16"/>
          <w:szCs w:val="16"/>
          <w:lang w:eastAsia="it-IT"/>
        </w:rPr>
        <w:t xml:space="preserve">, Presidente Comitato Sostenibilità INWIT, </w:t>
      </w:r>
      <w:r w:rsidRPr="00F210CE">
        <w:rPr>
          <w:rFonts w:ascii="Poppins" w:hAnsi="Poppins" w:cs="Poppins"/>
          <w:sz w:val="16"/>
          <w:szCs w:val="16"/>
        </w:rPr>
        <w:t xml:space="preserve">ed è stato moderato da </w:t>
      </w:r>
      <w:r w:rsidRPr="00F210CE">
        <w:rPr>
          <w:rFonts w:ascii="Poppins" w:hAnsi="Poppins" w:cs="Poppins"/>
          <w:b/>
          <w:bCs/>
          <w:sz w:val="16"/>
          <w:szCs w:val="16"/>
        </w:rPr>
        <w:t>Michelangelo Suigo</w:t>
      </w:r>
      <w:r w:rsidRPr="00F210CE">
        <w:rPr>
          <w:rFonts w:ascii="Poppins" w:hAnsi="Poppins" w:cs="Poppins"/>
          <w:sz w:val="16"/>
          <w:szCs w:val="16"/>
        </w:rPr>
        <w:t>, Direttore Relazioni esterne, comunicazione e sostenibilità di INWIT.</w:t>
      </w:r>
    </w:p>
    <w:p w14:paraId="455589BE" w14:textId="2CB65558" w:rsidR="003E7373" w:rsidRPr="00ED3F0A" w:rsidRDefault="003E7373" w:rsidP="003E7373">
      <w:pPr>
        <w:contextualSpacing/>
        <w:jc w:val="both"/>
        <w:rPr>
          <w:rFonts w:ascii="Poppins" w:hAnsi="Poppins" w:cs="Poppins"/>
          <w:i/>
          <w:iCs/>
          <w:sz w:val="8"/>
          <w:szCs w:val="8"/>
        </w:rPr>
      </w:pPr>
      <w:r w:rsidRPr="00F210CE">
        <w:rPr>
          <w:rFonts w:ascii="Poppins" w:hAnsi="Poppins" w:cs="Poppins"/>
          <w:i/>
          <w:iCs/>
          <w:sz w:val="16"/>
          <w:szCs w:val="16"/>
        </w:rPr>
        <w:t xml:space="preserve"> </w:t>
      </w:r>
    </w:p>
    <w:p w14:paraId="7D92292B" w14:textId="64419C0F" w:rsidR="003E7373" w:rsidRPr="00F210CE" w:rsidRDefault="003E7373" w:rsidP="003E7373">
      <w:pPr>
        <w:contextualSpacing/>
        <w:jc w:val="both"/>
        <w:rPr>
          <w:rFonts w:ascii="Poppins" w:hAnsi="Poppins" w:cs="Poppins"/>
          <w:i/>
          <w:iCs/>
          <w:sz w:val="16"/>
          <w:szCs w:val="16"/>
          <w:u w:val="single"/>
          <w14:ligatures w14:val="standardContextual"/>
        </w:rPr>
      </w:pPr>
      <w:r w:rsidRPr="00F210CE">
        <w:rPr>
          <w:rFonts w:ascii="Poppins" w:hAnsi="Poppins" w:cs="Poppins"/>
          <w:i/>
          <w:iCs/>
          <w:sz w:val="16"/>
          <w:szCs w:val="16"/>
          <w14:ligatures w14:val="standardContextual"/>
        </w:rPr>
        <w:t>“</w:t>
      </w:r>
      <w:r w:rsidR="00B605A3" w:rsidRPr="00F210CE">
        <w:rPr>
          <w:rFonts w:ascii="Poppins" w:hAnsi="Poppins" w:cs="Poppins"/>
          <w:i/>
          <w:iCs/>
          <w:sz w:val="16"/>
          <w:szCs w:val="16"/>
          <w14:ligatures w14:val="standardContextual"/>
        </w:rPr>
        <w:t>Lo studio TEHA evidenzia come Il modello di business delle infrastrutture digitali e condivise impatt</w:t>
      </w:r>
      <w:r w:rsidR="00A40ADE">
        <w:rPr>
          <w:rFonts w:ascii="Poppins" w:hAnsi="Poppins" w:cs="Poppins"/>
          <w:i/>
          <w:iCs/>
          <w:sz w:val="16"/>
          <w:szCs w:val="16"/>
          <w14:ligatures w14:val="standardContextual"/>
        </w:rPr>
        <w:t>i</w:t>
      </w:r>
      <w:r w:rsidR="00B605A3" w:rsidRPr="00F210CE">
        <w:rPr>
          <w:rFonts w:ascii="Poppins" w:hAnsi="Poppins" w:cs="Poppins"/>
          <w:i/>
          <w:iCs/>
          <w:sz w:val="16"/>
          <w:szCs w:val="16"/>
          <w14:ligatures w14:val="standardContextual"/>
        </w:rPr>
        <w:t xml:space="preserve"> positivamente su PIL, occupazione e indotto, creando valore per la filiera telco e i territori. INWIT continua ad investire nella rete di infrastrutture multi-operatore che abilita la connettività e la trasformazione digitale del Paese</w:t>
      </w:r>
      <w:r w:rsidRPr="00F210CE">
        <w:rPr>
          <w:rFonts w:ascii="Poppins" w:hAnsi="Poppins" w:cs="Poppins"/>
          <w:i/>
          <w:iCs/>
          <w:sz w:val="16"/>
          <w:szCs w:val="16"/>
          <w14:ligatures w14:val="standardContextual"/>
        </w:rPr>
        <w:t xml:space="preserve">”, ha detto </w:t>
      </w:r>
      <w:r w:rsidRPr="00F210CE">
        <w:rPr>
          <w:rFonts w:ascii="Poppins" w:hAnsi="Poppins" w:cs="Poppins"/>
          <w:b/>
          <w:bCs/>
          <w:i/>
          <w:iCs/>
          <w:sz w:val="16"/>
          <w:szCs w:val="16"/>
          <w14:ligatures w14:val="standardContextual"/>
        </w:rPr>
        <w:t>Diego Galli</w:t>
      </w:r>
      <w:r w:rsidRPr="00F210CE">
        <w:rPr>
          <w:rFonts w:ascii="Poppins" w:hAnsi="Poppins" w:cs="Poppins"/>
          <w:i/>
          <w:iCs/>
          <w:sz w:val="16"/>
          <w:szCs w:val="16"/>
          <w14:ligatures w14:val="standardContextual"/>
        </w:rPr>
        <w:t>, Direttore Generale INWIT.</w:t>
      </w:r>
      <w:r w:rsidRPr="00F210CE">
        <w:rPr>
          <w:rFonts w:ascii="Poppins" w:hAnsi="Poppins" w:cs="Poppins"/>
          <w:i/>
          <w:iCs/>
          <w:sz w:val="16"/>
          <w:szCs w:val="16"/>
          <w:u w:val="single"/>
          <w14:ligatures w14:val="standardContextual"/>
        </w:rPr>
        <w:t xml:space="preserve"> </w:t>
      </w:r>
    </w:p>
    <w:p w14:paraId="6B424D15" w14:textId="77777777" w:rsidR="003E7373" w:rsidRPr="00ED3F0A" w:rsidRDefault="003E7373" w:rsidP="003E7373">
      <w:pPr>
        <w:contextualSpacing/>
        <w:jc w:val="both"/>
        <w:rPr>
          <w:rFonts w:ascii="Poppins" w:hAnsi="Poppins" w:cs="Poppins"/>
          <w:i/>
          <w:iCs/>
          <w:sz w:val="8"/>
          <w:szCs w:val="8"/>
          <w14:ligatures w14:val="standardContextual"/>
        </w:rPr>
      </w:pPr>
    </w:p>
    <w:p w14:paraId="6993FF36" w14:textId="39F0364F" w:rsidR="003E7373" w:rsidRPr="00F210CE" w:rsidRDefault="003E7373" w:rsidP="003E7373">
      <w:pPr>
        <w:contextualSpacing/>
        <w:jc w:val="both"/>
        <w:rPr>
          <w:rFonts w:ascii="Poppins" w:eastAsiaTheme="minorHAnsi" w:hAnsi="Poppins" w:cs="Poppins"/>
          <w:i/>
          <w:iCs/>
          <w:sz w:val="16"/>
          <w:szCs w:val="16"/>
          <w:lang w:eastAsia="it-IT"/>
        </w:rPr>
      </w:pPr>
      <w:r w:rsidRPr="0074038C">
        <w:rPr>
          <w:rFonts w:ascii="Poppins" w:eastAsiaTheme="minorHAnsi" w:hAnsi="Poppins" w:cs="Poppins"/>
          <w:i/>
          <w:iCs/>
          <w:sz w:val="16"/>
          <w:szCs w:val="16"/>
          <w:lang w:eastAsia="it-IT"/>
        </w:rPr>
        <w:t>“</w:t>
      </w:r>
      <w:r w:rsidR="00924DE3" w:rsidRPr="0074038C">
        <w:rPr>
          <w:rFonts w:ascii="Poppins" w:eastAsiaTheme="minorHAnsi" w:hAnsi="Poppins" w:cs="Poppins"/>
          <w:i/>
          <w:iCs/>
          <w:sz w:val="16"/>
          <w:szCs w:val="16"/>
          <w:lang w:eastAsia="it-IT"/>
        </w:rPr>
        <w:t>Dall’applicazione del nostro approccio di misurazione dell’impatto multidimensionale ad INWIT, e al suo modello distintivo di separazione tra infrastrutture e servizi e condivisione delle torri, emerge un importante contributo all’economia del Paese e dei territori, agli investimenti, alla creazione di valore sociale e ambientale e alla capillarità dei servizi digitali, che abilita, tra gli altri, lo sviluppo, l’innovazione e la riduzione di diseguaglianze nel Paese</w:t>
      </w:r>
      <w:r w:rsidR="00926F55">
        <w:rPr>
          <w:rFonts w:ascii="Poppins" w:eastAsiaTheme="minorHAnsi" w:hAnsi="Poppins" w:cs="Poppins"/>
          <w:i/>
          <w:iCs/>
          <w:sz w:val="16"/>
          <w:szCs w:val="16"/>
          <w:lang w:eastAsia="it-IT"/>
        </w:rPr>
        <w:t>”,</w:t>
      </w:r>
      <w:r w:rsidRPr="0074038C">
        <w:rPr>
          <w:rFonts w:ascii="Poppins" w:eastAsiaTheme="minorHAnsi" w:hAnsi="Poppins" w:cs="Poppins"/>
          <w:i/>
          <w:iCs/>
          <w:sz w:val="16"/>
          <w:szCs w:val="16"/>
          <w:lang w:eastAsia="it-IT"/>
        </w:rPr>
        <w:t xml:space="preserve"> </w:t>
      </w:r>
      <w:r w:rsidRPr="0074038C">
        <w:rPr>
          <w:rFonts w:ascii="Poppins" w:eastAsiaTheme="minorHAnsi" w:hAnsi="Poppins" w:cs="Poppins"/>
          <w:sz w:val="16"/>
          <w:szCs w:val="16"/>
          <w:lang w:eastAsia="it-IT"/>
        </w:rPr>
        <w:t xml:space="preserve">ha dichiarato </w:t>
      </w:r>
      <w:r w:rsidR="004C7FB6" w:rsidRPr="0074038C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 xml:space="preserve">Emiliano </w:t>
      </w:r>
      <w:r w:rsidR="00D717D0" w:rsidRPr="0074038C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>Briante</w:t>
      </w:r>
      <w:r w:rsidRPr="0074038C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>,</w:t>
      </w:r>
      <w:r w:rsidRPr="0074038C">
        <w:rPr>
          <w:rFonts w:ascii="Poppins" w:eastAsiaTheme="minorHAnsi" w:hAnsi="Poppins" w:cs="Poppins"/>
          <w:sz w:val="16"/>
          <w:szCs w:val="16"/>
          <w:lang w:eastAsia="it-IT"/>
        </w:rPr>
        <w:t xml:space="preserve"> </w:t>
      </w:r>
      <w:r w:rsidR="004C7FB6" w:rsidRPr="0074038C">
        <w:rPr>
          <w:rFonts w:ascii="Poppins" w:eastAsiaTheme="minorHAnsi" w:hAnsi="Poppins" w:cs="Poppins"/>
          <w:sz w:val="16"/>
          <w:szCs w:val="16"/>
          <w:lang w:eastAsia="it-IT"/>
        </w:rPr>
        <w:t>Partner</w:t>
      </w:r>
      <w:r w:rsidRPr="0074038C">
        <w:rPr>
          <w:rFonts w:ascii="Poppins" w:eastAsiaTheme="minorHAnsi" w:hAnsi="Poppins" w:cs="Poppins"/>
          <w:sz w:val="16"/>
          <w:szCs w:val="16"/>
          <w:lang w:eastAsia="it-IT"/>
        </w:rPr>
        <w:t xml:space="preserve"> di TEHA Group</w:t>
      </w:r>
      <w:r w:rsidRPr="0074038C">
        <w:rPr>
          <w:rFonts w:ascii="Poppins" w:eastAsiaTheme="minorHAnsi" w:hAnsi="Poppins" w:cs="Poppins"/>
          <w:i/>
          <w:iCs/>
          <w:sz w:val="16"/>
          <w:szCs w:val="16"/>
          <w:lang w:eastAsia="it-IT"/>
        </w:rPr>
        <w:t>.</w:t>
      </w:r>
    </w:p>
    <w:p w14:paraId="4A4F3937" w14:textId="77777777" w:rsidR="000F272D" w:rsidRPr="00ED3F0A" w:rsidRDefault="000F272D" w:rsidP="003E7373">
      <w:pPr>
        <w:contextualSpacing/>
        <w:jc w:val="both"/>
        <w:rPr>
          <w:rFonts w:ascii="Poppins" w:eastAsiaTheme="minorHAnsi" w:hAnsi="Poppins" w:cs="Poppins"/>
          <w:sz w:val="8"/>
          <w:szCs w:val="8"/>
          <w:lang w:eastAsia="it-IT"/>
        </w:rPr>
      </w:pPr>
    </w:p>
    <w:p w14:paraId="443A3A4B" w14:textId="04398A44" w:rsidR="00850851" w:rsidRPr="0043311E" w:rsidRDefault="00850851" w:rsidP="00850851">
      <w:pPr>
        <w:contextualSpacing/>
        <w:jc w:val="both"/>
        <w:rPr>
          <w:rFonts w:ascii="Poppins" w:eastAsiaTheme="minorHAnsi" w:hAnsi="Poppins" w:cs="Poppins"/>
          <w:i/>
          <w:iCs/>
          <w:sz w:val="16"/>
          <w:szCs w:val="16"/>
        </w:rPr>
      </w:pPr>
      <w:r w:rsidRPr="00F210CE">
        <w:rPr>
          <w:rFonts w:ascii="Poppins" w:hAnsi="Poppins" w:cs="Poppins"/>
          <w:i/>
          <w:iCs/>
          <w:sz w:val="16"/>
          <w:szCs w:val="16"/>
        </w:rPr>
        <w:t>“</w:t>
      </w:r>
      <w:r w:rsidRPr="00F210CE">
        <w:rPr>
          <w:rFonts w:ascii="Poppins" w:eastAsiaTheme="minorHAnsi" w:hAnsi="Poppins" w:cs="Poppins"/>
          <w:i/>
          <w:iCs/>
          <w:sz w:val="16"/>
          <w:szCs w:val="16"/>
        </w:rPr>
        <w:t>Sono onorata di partecipare, come Presidente del Comitato Sostenibilità di INWIT, a questo evento;</w:t>
      </w:r>
      <w:r w:rsidR="0043311E">
        <w:rPr>
          <w:rFonts w:ascii="Poppins" w:eastAsiaTheme="minorHAnsi" w:hAnsi="Poppins" w:cs="Poppins"/>
          <w:i/>
          <w:iCs/>
          <w:sz w:val="16"/>
          <w:szCs w:val="16"/>
        </w:rPr>
        <w:t xml:space="preserve"> </w:t>
      </w:r>
      <w:r w:rsidRPr="00F210CE">
        <w:rPr>
          <w:rFonts w:ascii="Poppins" w:eastAsiaTheme="minorHAnsi" w:hAnsi="Poppins" w:cs="Poppins"/>
          <w:i/>
          <w:iCs/>
          <w:sz w:val="16"/>
          <w:szCs w:val="16"/>
        </w:rPr>
        <w:t>incontri come questo sono fondamentali per sottolineare l’importanza dell’integrazione della sostenibilità</w:t>
      </w:r>
      <w:r w:rsidR="0043311E">
        <w:rPr>
          <w:rFonts w:ascii="Poppins" w:eastAsiaTheme="minorHAnsi" w:hAnsi="Poppins" w:cs="Poppins"/>
          <w:i/>
          <w:iCs/>
          <w:sz w:val="16"/>
          <w:szCs w:val="16"/>
        </w:rPr>
        <w:t xml:space="preserve"> </w:t>
      </w:r>
      <w:r w:rsidRPr="00F210CE">
        <w:rPr>
          <w:rFonts w:ascii="Poppins" w:eastAsiaTheme="minorHAnsi" w:hAnsi="Poppins" w:cs="Poppins"/>
          <w:i/>
          <w:iCs/>
          <w:sz w:val="16"/>
          <w:szCs w:val="16"/>
        </w:rPr>
        <w:t>nel modello di business delle infrastrutture, tenendo conto degli interessi di tutti gli stakeholder rilevanti. In</w:t>
      </w:r>
      <w:r w:rsidR="0043311E">
        <w:rPr>
          <w:rFonts w:ascii="Poppins" w:eastAsiaTheme="minorHAnsi" w:hAnsi="Poppins" w:cs="Poppins"/>
          <w:i/>
          <w:iCs/>
          <w:sz w:val="16"/>
          <w:szCs w:val="16"/>
        </w:rPr>
        <w:t xml:space="preserve"> </w:t>
      </w:r>
      <w:r w:rsidRPr="00F210CE">
        <w:rPr>
          <w:rFonts w:ascii="Poppins" w:eastAsiaTheme="minorHAnsi" w:hAnsi="Poppins" w:cs="Poppins"/>
          <w:i/>
          <w:iCs/>
          <w:sz w:val="16"/>
          <w:szCs w:val="16"/>
        </w:rPr>
        <w:t>INWIT ho riscontrato particolare attenzione nel considerare, nello svolgimento dell’attività aziendale, gli</w:t>
      </w:r>
      <w:r w:rsidR="0043311E">
        <w:rPr>
          <w:rFonts w:ascii="Poppins" w:eastAsiaTheme="minorHAnsi" w:hAnsi="Poppins" w:cs="Poppins"/>
          <w:i/>
          <w:iCs/>
          <w:sz w:val="16"/>
          <w:szCs w:val="16"/>
        </w:rPr>
        <w:t xml:space="preserve"> </w:t>
      </w:r>
      <w:r w:rsidRPr="00F210CE">
        <w:rPr>
          <w:rFonts w:ascii="Poppins" w:eastAsiaTheme="minorHAnsi" w:hAnsi="Poppins" w:cs="Poppins"/>
          <w:i/>
          <w:iCs/>
          <w:sz w:val="16"/>
          <w:szCs w:val="16"/>
        </w:rPr>
        <w:t>impatti sociali e ambientali al pari di quelli economici</w:t>
      </w:r>
      <w:r w:rsidRPr="00F210CE">
        <w:rPr>
          <w:rFonts w:ascii="Poppins" w:hAnsi="Poppins" w:cs="Poppins"/>
          <w:i/>
          <w:iCs/>
          <w:sz w:val="16"/>
          <w:szCs w:val="16"/>
        </w:rPr>
        <w:t>”,</w:t>
      </w:r>
      <w:r w:rsidRPr="00F210CE">
        <w:rPr>
          <w:rFonts w:ascii="Poppins" w:hAnsi="Poppins" w:cs="Poppins"/>
          <w:sz w:val="16"/>
          <w:szCs w:val="16"/>
        </w:rPr>
        <w:t xml:space="preserve"> ha commentato </w:t>
      </w:r>
      <w:r w:rsidRPr="00F210CE">
        <w:rPr>
          <w:rFonts w:ascii="Poppins" w:eastAsiaTheme="minorHAnsi" w:hAnsi="Poppins" w:cs="Poppins"/>
          <w:b/>
          <w:bCs/>
          <w:sz w:val="16"/>
          <w:szCs w:val="16"/>
          <w:lang w:eastAsia="it-IT"/>
        </w:rPr>
        <w:t>Giulia Staderini</w:t>
      </w:r>
      <w:r w:rsidRPr="00F210CE">
        <w:rPr>
          <w:rFonts w:ascii="Poppins" w:eastAsiaTheme="minorHAnsi" w:hAnsi="Poppins" w:cs="Poppins"/>
          <w:sz w:val="16"/>
          <w:szCs w:val="16"/>
          <w:lang w:eastAsia="it-IT"/>
        </w:rPr>
        <w:t>, Presidente Comitato Sostenibilità INWIT.</w:t>
      </w:r>
    </w:p>
    <w:p w14:paraId="02317216" w14:textId="77777777" w:rsidR="003E7373" w:rsidRPr="00ED3F0A" w:rsidRDefault="003E7373" w:rsidP="00BB09A5">
      <w:pPr>
        <w:contextualSpacing/>
        <w:jc w:val="both"/>
        <w:rPr>
          <w:rFonts w:ascii="Poppins" w:hAnsi="Poppins" w:cs="Poppins"/>
          <w:sz w:val="8"/>
          <w:szCs w:val="8"/>
          <w:highlight w:val="yellow"/>
        </w:rPr>
      </w:pPr>
    </w:p>
    <w:p w14:paraId="1F76617E" w14:textId="2D8D878D" w:rsidR="00FC61BA" w:rsidRPr="00F210CE" w:rsidRDefault="003E7373" w:rsidP="008737C3">
      <w:pPr>
        <w:contextualSpacing/>
        <w:jc w:val="both"/>
        <w:rPr>
          <w:rFonts w:ascii="Poppins" w:hAnsi="Poppins" w:cs="Poppins"/>
          <w:i/>
          <w:iCs/>
          <w:sz w:val="16"/>
          <w:szCs w:val="16"/>
        </w:rPr>
      </w:pPr>
      <w:r w:rsidRPr="00F210CE">
        <w:rPr>
          <w:rFonts w:ascii="Poppins" w:hAnsi="Poppins" w:cs="Poppins"/>
          <w:i/>
          <w:iCs/>
          <w:sz w:val="16"/>
          <w:szCs w:val="16"/>
        </w:rPr>
        <w:t>“</w:t>
      </w:r>
      <w:r w:rsidR="00FC61BA" w:rsidRPr="00F210CE">
        <w:rPr>
          <w:rFonts w:ascii="Poppins" w:hAnsi="Poppins" w:cs="Poppins"/>
          <w:i/>
          <w:iCs/>
          <w:sz w:val="16"/>
          <w:szCs w:val="16"/>
        </w:rPr>
        <w:t>Questo studio e il percorso stesso di Inwit confermano come la sostenibilità sia un concetto</w:t>
      </w:r>
      <w:r w:rsidR="008737C3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FC61BA" w:rsidRPr="00F210CE">
        <w:rPr>
          <w:rFonts w:ascii="Poppins" w:hAnsi="Poppins" w:cs="Poppins"/>
          <w:i/>
          <w:iCs/>
          <w:sz w:val="16"/>
          <w:szCs w:val="16"/>
        </w:rPr>
        <w:t>multidimensionale, che trova realizzazione solo quando tutte le dimensioni dell'impresa - economiche,</w:t>
      </w:r>
      <w:r w:rsidR="008737C3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FC61BA" w:rsidRPr="00F210CE">
        <w:rPr>
          <w:rFonts w:ascii="Poppins" w:hAnsi="Poppins" w:cs="Poppins"/>
          <w:i/>
          <w:iCs/>
          <w:sz w:val="16"/>
          <w:szCs w:val="16"/>
        </w:rPr>
        <w:t>ambientali e sociali - risultano sostenibili. Se da un lato è dunque essenziale integrare pienamente la</w:t>
      </w:r>
      <w:r w:rsidR="008737C3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FC61BA" w:rsidRPr="00F210CE">
        <w:rPr>
          <w:rFonts w:ascii="Poppins" w:hAnsi="Poppins" w:cs="Poppins"/>
          <w:i/>
          <w:iCs/>
          <w:sz w:val="16"/>
          <w:szCs w:val="16"/>
        </w:rPr>
        <w:t>governance della sostenibilità nel modello e nelle strategie di business, dall’altro è sempre più evidente il</w:t>
      </w:r>
      <w:r w:rsidR="008737C3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FC61BA" w:rsidRPr="00F210CE">
        <w:rPr>
          <w:rFonts w:ascii="Poppins" w:hAnsi="Poppins" w:cs="Poppins"/>
          <w:i/>
          <w:iCs/>
          <w:sz w:val="16"/>
          <w:szCs w:val="16"/>
        </w:rPr>
        <w:t>ruolo dell’innovazione, tecnologica e digitale, come strumento indispensabile per una transizione e</w:t>
      </w:r>
      <w:r w:rsidR="00BB09A5">
        <w:rPr>
          <w:rFonts w:ascii="Poppins" w:eastAsia="Poppins" w:hAnsi="Poppins" w:cs="Poppins"/>
          <w:i/>
          <w:iCs/>
          <w:sz w:val="16"/>
          <w:szCs w:val="16"/>
        </w:rPr>
        <w:t>ff</w:t>
      </w:r>
      <w:r w:rsidR="00FC61BA" w:rsidRPr="00F210CE">
        <w:rPr>
          <w:rFonts w:ascii="Poppins" w:hAnsi="Poppins" w:cs="Poppins"/>
          <w:i/>
          <w:iCs/>
          <w:sz w:val="16"/>
          <w:szCs w:val="16"/>
        </w:rPr>
        <w:t>icace ma anche equa</w:t>
      </w:r>
      <w:r w:rsidRPr="00F210CE">
        <w:rPr>
          <w:rFonts w:ascii="Poppins" w:hAnsi="Poppins" w:cs="Poppins"/>
          <w:i/>
          <w:iCs/>
          <w:sz w:val="16"/>
          <w:szCs w:val="16"/>
        </w:rPr>
        <w:t xml:space="preserve">”, </w:t>
      </w:r>
      <w:r w:rsidRPr="00F210CE">
        <w:rPr>
          <w:rFonts w:ascii="Poppins" w:hAnsi="Poppins" w:cs="Poppins"/>
          <w:sz w:val="16"/>
          <w:szCs w:val="16"/>
        </w:rPr>
        <w:t xml:space="preserve">ha </w:t>
      </w:r>
      <w:r w:rsidR="004B4DC7">
        <w:rPr>
          <w:rFonts w:ascii="Poppins" w:hAnsi="Poppins" w:cs="Poppins"/>
          <w:sz w:val="16"/>
          <w:szCs w:val="16"/>
        </w:rPr>
        <w:t>aggiunto</w:t>
      </w:r>
      <w:r w:rsidRPr="00F210CE">
        <w:rPr>
          <w:rFonts w:ascii="Poppins" w:hAnsi="Poppins" w:cs="Poppins"/>
          <w:sz w:val="16"/>
          <w:szCs w:val="16"/>
        </w:rPr>
        <w:t xml:space="preserve"> </w:t>
      </w:r>
      <w:r w:rsidRPr="00F210CE">
        <w:rPr>
          <w:rFonts w:ascii="Poppins" w:hAnsi="Poppins" w:cs="Poppins"/>
          <w:b/>
          <w:bCs/>
          <w:sz w:val="16"/>
          <w:szCs w:val="16"/>
        </w:rPr>
        <w:t xml:space="preserve">Laura Cavatorta, </w:t>
      </w:r>
      <w:r w:rsidR="005C7A8D" w:rsidRPr="005C7A8D">
        <w:rPr>
          <w:rFonts w:ascii="Poppins" w:hAnsi="Poppins" w:cs="Poppins"/>
          <w:sz w:val="16"/>
          <w:szCs w:val="16"/>
        </w:rPr>
        <w:t>Comitato Controllo, Rischi e Sostenibilità SNAM</w:t>
      </w:r>
      <w:r w:rsidRPr="00F210CE">
        <w:rPr>
          <w:rFonts w:ascii="Poppins" w:hAnsi="Poppins" w:cs="Poppins"/>
          <w:sz w:val="16"/>
          <w:szCs w:val="16"/>
        </w:rPr>
        <w:t>.</w:t>
      </w:r>
    </w:p>
    <w:p w14:paraId="0616EAFD" w14:textId="77777777" w:rsidR="003E7373" w:rsidRPr="00ED3F0A" w:rsidRDefault="003E7373" w:rsidP="003E7373">
      <w:pPr>
        <w:contextualSpacing/>
        <w:jc w:val="both"/>
        <w:rPr>
          <w:rFonts w:ascii="Poppins" w:hAnsi="Poppins" w:cs="Poppins"/>
          <w:i/>
          <w:iCs/>
          <w:sz w:val="8"/>
          <w:szCs w:val="8"/>
        </w:rPr>
      </w:pPr>
    </w:p>
    <w:p w14:paraId="012AEDF0" w14:textId="719BAE34" w:rsidR="003E7373" w:rsidRPr="00ED3F0A" w:rsidRDefault="003E7373" w:rsidP="00ED3F0A">
      <w:pPr>
        <w:contextualSpacing/>
        <w:jc w:val="both"/>
        <w:rPr>
          <w:rFonts w:ascii="Poppins" w:hAnsi="Poppins" w:cs="Poppins"/>
          <w:sz w:val="16"/>
          <w:szCs w:val="16"/>
        </w:rPr>
      </w:pPr>
      <w:r w:rsidRPr="00F210CE">
        <w:rPr>
          <w:rFonts w:ascii="Poppins" w:hAnsi="Poppins" w:cs="Poppins"/>
          <w:i/>
          <w:iCs/>
          <w:sz w:val="16"/>
          <w:szCs w:val="16"/>
        </w:rPr>
        <w:t>“</w:t>
      </w:r>
      <w:r w:rsidR="00C5338C" w:rsidRPr="00C5338C">
        <w:rPr>
          <w:rFonts w:ascii="Poppins" w:hAnsi="Poppins" w:cs="Poppins"/>
          <w:i/>
          <w:iCs/>
          <w:sz w:val="16"/>
          <w:szCs w:val="16"/>
        </w:rPr>
        <w:t>Le infrastrutture digitali rappresentano oggi una leva strategica per la crescita e la resilienza dei territori, soprattutto quelli più fragili o marginali</w:t>
      </w:r>
      <w:r w:rsidR="00C5338C" w:rsidRPr="0087542B">
        <w:rPr>
          <w:rFonts w:ascii="Poppins" w:hAnsi="Poppins" w:cs="Poppins"/>
          <w:i/>
          <w:iCs/>
          <w:sz w:val="16"/>
          <w:szCs w:val="16"/>
        </w:rPr>
        <w:t xml:space="preserve">. </w:t>
      </w:r>
      <w:r w:rsidR="00F71139" w:rsidRPr="0087542B">
        <w:rPr>
          <w:rFonts w:ascii="Poppins" w:hAnsi="Poppins" w:cs="Poppins"/>
          <w:i/>
          <w:iCs/>
          <w:sz w:val="16"/>
          <w:szCs w:val="16"/>
        </w:rPr>
        <w:t>L’iniziativa promossa da INWIT restituisce con chiarezza l’importanza di una transizione tecnologica che sia anche sociale, inclusiva e sostenibile</w:t>
      </w:r>
      <w:r w:rsidR="0087542B" w:rsidRPr="0087542B">
        <w:rPr>
          <w:rFonts w:ascii="Poppins" w:hAnsi="Poppins" w:cs="Poppins"/>
          <w:i/>
          <w:iCs/>
          <w:sz w:val="16"/>
          <w:szCs w:val="16"/>
        </w:rPr>
        <w:t>.</w:t>
      </w:r>
      <w:r w:rsidR="0087542B">
        <w:rPr>
          <w:rFonts w:ascii="Poppins" w:hAnsi="Poppins" w:cs="Poppins"/>
          <w:sz w:val="16"/>
          <w:szCs w:val="16"/>
        </w:rPr>
        <w:t xml:space="preserve"> </w:t>
      </w:r>
      <w:r w:rsidR="00C5338C" w:rsidRPr="00C5338C">
        <w:rPr>
          <w:rFonts w:ascii="Poppins" w:hAnsi="Poppins" w:cs="Poppins"/>
          <w:i/>
          <w:iCs/>
          <w:sz w:val="16"/>
          <w:szCs w:val="16"/>
        </w:rPr>
        <w:t>Come Sindaco di un piccolo Comune e</w:t>
      </w:r>
      <w:r w:rsidR="00FD701C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C5338C" w:rsidRPr="00C5338C">
        <w:rPr>
          <w:rFonts w:ascii="Poppins" w:hAnsi="Poppins" w:cs="Poppins"/>
          <w:i/>
          <w:iCs/>
          <w:sz w:val="16"/>
          <w:szCs w:val="16"/>
        </w:rPr>
        <w:t>come Presidente di ANCI Umbria, accolgo con grande favore ogni momento di confronto che mette al centro i bisogni reali dei territori e le potenzialità del digitale per migliorarne la qualità della vita.</w:t>
      </w:r>
      <w:r w:rsidR="007E6C60">
        <w:rPr>
          <w:rFonts w:ascii="Poppins" w:hAnsi="Poppins" w:cs="Poppins"/>
          <w:i/>
          <w:iCs/>
          <w:sz w:val="16"/>
          <w:szCs w:val="16"/>
        </w:rPr>
        <w:t xml:space="preserve"> </w:t>
      </w:r>
      <w:r w:rsidR="00C5338C" w:rsidRPr="00C5338C">
        <w:rPr>
          <w:rFonts w:ascii="Poppins" w:hAnsi="Poppins" w:cs="Poppins"/>
          <w:i/>
          <w:iCs/>
          <w:sz w:val="16"/>
          <w:szCs w:val="16"/>
        </w:rPr>
        <w:t>La digitalizzazione non è un’opzione, ma una responsabilità collettiva: se ben governata, può garantire accesso ai servizi, attrattività e nuove opportunità per le comunità locali</w:t>
      </w:r>
      <w:r w:rsidRPr="00F210CE">
        <w:rPr>
          <w:rFonts w:ascii="Poppins" w:hAnsi="Poppins" w:cs="Poppins"/>
          <w:i/>
          <w:iCs/>
          <w:sz w:val="16"/>
          <w:szCs w:val="16"/>
        </w:rPr>
        <w:t xml:space="preserve">”, </w:t>
      </w:r>
      <w:r w:rsidRPr="002F1398">
        <w:rPr>
          <w:rFonts w:ascii="Poppins" w:hAnsi="Poppins" w:cs="Poppins"/>
          <w:sz w:val="16"/>
          <w:szCs w:val="16"/>
        </w:rPr>
        <w:t xml:space="preserve">ha </w:t>
      </w:r>
      <w:r w:rsidR="004B4DC7">
        <w:rPr>
          <w:rFonts w:ascii="Poppins" w:hAnsi="Poppins" w:cs="Poppins"/>
          <w:sz w:val="16"/>
          <w:szCs w:val="16"/>
        </w:rPr>
        <w:t>concluso</w:t>
      </w:r>
      <w:r w:rsidRPr="002F1398">
        <w:rPr>
          <w:rFonts w:ascii="Poppins" w:hAnsi="Poppins" w:cs="Poppins"/>
          <w:sz w:val="16"/>
          <w:szCs w:val="16"/>
        </w:rPr>
        <w:t xml:space="preserve"> </w:t>
      </w:r>
      <w:r w:rsidRPr="002F1398">
        <w:rPr>
          <w:rFonts w:ascii="Poppins" w:hAnsi="Poppins" w:cs="Poppins"/>
          <w:b/>
          <w:bCs/>
          <w:sz w:val="16"/>
          <w:szCs w:val="16"/>
        </w:rPr>
        <w:t xml:space="preserve">Federico Gori, </w:t>
      </w:r>
      <w:r w:rsidRPr="002F1398">
        <w:rPr>
          <w:rFonts w:ascii="Poppins" w:hAnsi="Poppins" w:cs="Poppins"/>
          <w:sz w:val="16"/>
          <w:szCs w:val="16"/>
        </w:rPr>
        <w:t>Presidente ANCI Umbria e Sindaco Montecchio (TR).</w:t>
      </w:r>
      <w:r w:rsidR="00072AAC" w:rsidRPr="002F1398">
        <w:rPr>
          <w:rFonts w:ascii="Poppins" w:hAnsi="Poppins" w:cs="Poppins"/>
          <w:sz w:val="16"/>
          <w:szCs w:val="16"/>
        </w:rPr>
        <w:t xml:space="preserve"> </w:t>
      </w:r>
    </w:p>
    <w:p w14:paraId="02BE2393" w14:textId="77777777" w:rsidR="00ED3F0A" w:rsidRDefault="00ED3F0A" w:rsidP="00ED3F0A">
      <w:pPr>
        <w:rPr>
          <w:rFonts w:ascii="Poppins" w:hAnsi="Poppins" w:cs="Poppins"/>
          <w:b/>
          <w:bCs/>
          <w:i/>
          <w:iCs/>
          <w:color w:val="00B0F0"/>
          <w:sz w:val="18"/>
          <w:szCs w:val="18"/>
        </w:rPr>
      </w:pPr>
    </w:p>
    <w:p w14:paraId="20EC339E" w14:textId="77777777" w:rsidR="0096296A" w:rsidRDefault="0096296A" w:rsidP="0096296A">
      <w:pPr>
        <w:pStyle w:val="xmsonormal"/>
        <w:rPr>
          <w:rFonts w:ascii="Poppins" w:hAnsi="Poppins" w:cs="Poppins"/>
          <w:b/>
          <w:bCs/>
          <w:i/>
          <w:iCs/>
          <w:color w:val="00B0F0"/>
          <w:sz w:val="18"/>
          <w:szCs w:val="18"/>
        </w:rPr>
      </w:pPr>
      <w:r w:rsidRPr="00340686">
        <w:rPr>
          <w:rFonts w:ascii="Poppins" w:hAnsi="Poppins" w:cs="Poppins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925F878" wp14:editId="50B9E9B0">
            <wp:simplePos x="0" y="0"/>
            <wp:positionH relativeFrom="column">
              <wp:posOffset>4299585</wp:posOffset>
            </wp:positionH>
            <wp:positionV relativeFrom="paragraph">
              <wp:posOffset>61166</wp:posOffset>
            </wp:positionV>
            <wp:extent cx="665480" cy="662940"/>
            <wp:effectExtent l="0" t="0" r="1270" b="3810"/>
            <wp:wrapNone/>
            <wp:docPr id="1280189931" name="Immagine 1" descr="Immagine che contiene modello, quadrato, arte, pu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189931" name="Immagine 1" descr="Immagine che contiene modello, quadrato, arte, punto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6E9">
        <w:rPr>
          <w:rFonts w:ascii="Poppins" w:hAnsi="Poppins" w:cs="Poppins"/>
          <w:b/>
          <w:bCs/>
          <w:i/>
          <w:iCs/>
          <w:color w:val="00B0F0"/>
          <w:sz w:val="18"/>
          <w:szCs w:val="18"/>
        </w:rPr>
        <w:t>INQUADRA IL QR CODE PER SCARICARE IL MEDIA KIT DELL’EVENTO</w:t>
      </w:r>
    </w:p>
    <w:p w14:paraId="2084EFD2" w14:textId="77777777" w:rsidR="0096296A" w:rsidRDefault="0096296A" w:rsidP="0096296A">
      <w:pPr>
        <w:pStyle w:val="xmsonormal"/>
        <w:rPr>
          <w:rFonts w:ascii="Poppins" w:hAnsi="Poppins" w:cs="Poppins"/>
          <w:b/>
          <w:bCs/>
          <w:i/>
          <w:iCs/>
          <w:color w:val="00B0F0"/>
          <w:sz w:val="18"/>
          <w:szCs w:val="18"/>
        </w:rPr>
      </w:pPr>
    </w:p>
    <w:p w14:paraId="5F01977A" w14:textId="77777777" w:rsidR="0096296A" w:rsidRPr="0096296A" w:rsidRDefault="0096296A" w:rsidP="0096296A">
      <w:pPr>
        <w:pStyle w:val="xmsonormal"/>
        <w:rPr>
          <w:rFonts w:ascii="Poppins" w:hAnsi="Poppins" w:cs="Poppins"/>
          <w:b/>
          <w:bCs/>
          <w:i/>
          <w:iCs/>
          <w:color w:val="00B0F0"/>
          <w:sz w:val="2"/>
          <w:szCs w:val="2"/>
        </w:rPr>
      </w:pPr>
    </w:p>
    <w:p w14:paraId="26F10057" w14:textId="77777777" w:rsidR="0096296A" w:rsidRPr="007336DC" w:rsidRDefault="0096296A" w:rsidP="009629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rPr>
          <w:rFonts w:ascii="Poppins" w:eastAsiaTheme="minorHAnsi" w:hAnsi="Poppins" w:cs="Poppins"/>
          <w:b/>
          <w:bCs/>
          <w:color w:val="00B0F0"/>
          <w:sz w:val="18"/>
          <w:szCs w:val="18"/>
          <w:lang w:eastAsia="it-IT"/>
        </w:rPr>
      </w:pPr>
      <w:r w:rsidRPr="007336DC">
        <w:rPr>
          <w:rFonts w:ascii="Poppins" w:eastAsiaTheme="minorHAnsi" w:hAnsi="Poppins" w:cs="Poppins"/>
          <w:b/>
          <w:bCs/>
          <w:color w:val="00B0F0"/>
          <w:sz w:val="18"/>
          <w:szCs w:val="18"/>
          <w:lang w:eastAsia="it-IT"/>
        </w:rPr>
        <w:t xml:space="preserve">INWIT </w:t>
      </w:r>
    </w:p>
    <w:p w14:paraId="06A6D42A" w14:textId="77777777" w:rsidR="0096296A" w:rsidRPr="007336DC" w:rsidRDefault="0096296A" w:rsidP="0096296A">
      <w:pPr>
        <w:pStyle w:val="xmsonormal"/>
        <w:rPr>
          <w:rFonts w:ascii="Poppins" w:hAnsi="Poppins" w:cs="Poppins"/>
          <w:b/>
          <w:bCs/>
          <w:sz w:val="16"/>
          <w:szCs w:val="16"/>
        </w:rPr>
      </w:pPr>
      <w:r w:rsidRPr="007336DC">
        <w:rPr>
          <w:rFonts w:ascii="Poppins" w:hAnsi="Poppins" w:cs="Poppins"/>
          <w:b/>
          <w:bCs/>
          <w:sz w:val="16"/>
          <w:szCs w:val="16"/>
        </w:rPr>
        <w:t>Ufficio Stampa:</w:t>
      </w:r>
      <w:r w:rsidRPr="007336DC">
        <w:rPr>
          <w:rFonts w:ascii="Poppins" w:hAnsi="Poppins" w:cs="Poppins"/>
          <w:sz w:val="16"/>
          <w:szCs w:val="16"/>
        </w:rPr>
        <w:t xml:space="preserve"> </w:t>
      </w:r>
      <w:hyperlink r:id="rId12" w:history="1">
        <w:r w:rsidRPr="007336DC">
          <w:rPr>
            <w:sz w:val="18"/>
            <w:szCs w:val="18"/>
          </w:rPr>
          <w:t>pressoffice@inwit.it</w:t>
        </w:r>
      </w:hyperlink>
    </w:p>
    <w:p w14:paraId="1AA92009" w14:textId="77777777" w:rsidR="003E7373" w:rsidRPr="00DC76E9" w:rsidRDefault="003E7373" w:rsidP="003E7373">
      <w:pPr>
        <w:pStyle w:val="Default"/>
        <w:jc w:val="both"/>
        <w:rPr>
          <w:rFonts w:ascii="Poppins" w:eastAsia="Times New Roman" w:hAnsi="Poppins" w:cs="Poppins"/>
          <w:color w:val="0D0D0D" w:themeColor="text1" w:themeTint="F2"/>
          <w:sz w:val="18"/>
          <w:szCs w:val="18"/>
          <w:shd w:val="clear" w:color="auto" w:fill="FFFFFF"/>
          <w:lang w:eastAsia="it-IT"/>
        </w:rPr>
      </w:pPr>
    </w:p>
    <w:p w14:paraId="2D7695C1" w14:textId="77777777" w:rsidR="00393CC1" w:rsidRPr="008070EC" w:rsidRDefault="00393CC1" w:rsidP="001C0241">
      <w:pPr>
        <w:jc w:val="center"/>
        <w:rPr>
          <w:rFonts w:ascii="TIM Sans Thin" w:hAnsi="TIM Sans Thin" w:cs="Arial"/>
          <w:color w:val="0D0D0D" w:themeColor="text1" w:themeTint="F2"/>
          <w:shd w:val="clear" w:color="auto" w:fill="FFFFFF"/>
          <w:lang w:eastAsia="it-IT"/>
        </w:rPr>
      </w:pPr>
    </w:p>
    <w:sectPr w:rsidR="00393CC1" w:rsidRPr="008070EC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4468" w14:textId="77777777" w:rsidR="00D70813" w:rsidRDefault="00D70813" w:rsidP="008B4307">
      <w:r>
        <w:separator/>
      </w:r>
    </w:p>
  </w:endnote>
  <w:endnote w:type="continuationSeparator" w:id="0">
    <w:p w14:paraId="42EA83EB" w14:textId="77777777" w:rsidR="00D70813" w:rsidRDefault="00D70813" w:rsidP="008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 Sans Light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 Sans Thin">
    <w:altName w:val="Cambria"/>
    <w:panose1 w:val="00000000000000000000"/>
    <w:charset w:val="4D"/>
    <w:family w:val="auto"/>
    <w:notTrueType/>
    <w:pitch w:val="variable"/>
    <w:sig w:usb0="A000006F" w:usb1="4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7268" w14:textId="77777777" w:rsidR="00D70813" w:rsidRDefault="00D70813" w:rsidP="008B4307">
      <w:r>
        <w:separator/>
      </w:r>
    </w:p>
  </w:footnote>
  <w:footnote w:type="continuationSeparator" w:id="0">
    <w:p w14:paraId="25A840B4" w14:textId="77777777" w:rsidR="00D70813" w:rsidRDefault="00D70813" w:rsidP="008B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2A96" w14:textId="0842F97C" w:rsidR="008B4307" w:rsidRDefault="0086729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585D41" wp14:editId="4681C1E4">
          <wp:simplePos x="0" y="0"/>
          <wp:positionH relativeFrom="margin">
            <wp:posOffset>149860</wp:posOffset>
          </wp:positionH>
          <wp:positionV relativeFrom="topMargin">
            <wp:posOffset>361950</wp:posOffset>
          </wp:positionV>
          <wp:extent cx="1479550" cy="826770"/>
          <wp:effectExtent l="0" t="0" r="6350" b="0"/>
          <wp:wrapTight wrapText="bothSides">
            <wp:wrapPolygon edited="0">
              <wp:start x="0" y="2488"/>
              <wp:lineTo x="0" y="17419"/>
              <wp:lineTo x="21415" y="17419"/>
              <wp:lineTo x="21136" y="14931"/>
              <wp:lineTo x="20302" y="11447"/>
              <wp:lineTo x="21415" y="4479"/>
              <wp:lineTo x="21415" y="2488"/>
              <wp:lineTo x="0" y="2488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9588FAA" w14:textId="77777777" w:rsidR="008B4307" w:rsidRDefault="008B4307">
    <w:pPr>
      <w:pStyle w:val="Intestazione"/>
    </w:pPr>
  </w:p>
  <w:p w14:paraId="758C380F" w14:textId="1D28FA52" w:rsidR="008B4307" w:rsidRDefault="008B43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57E"/>
    <w:multiLevelType w:val="hybridMultilevel"/>
    <w:tmpl w:val="ED5ED5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D6A10"/>
    <w:multiLevelType w:val="hybridMultilevel"/>
    <w:tmpl w:val="6A0A8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4A22"/>
    <w:multiLevelType w:val="hybridMultilevel"/>
    <w:tmpl w:val="799AAA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375AA"/>
    <w:multiLevelType w:val="hybridMultilevel"/>
    <w:tmpl w:val="8B18B1CA"/>
    <w:lvl w:ilvl="0" w:tplc="0024D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5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6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4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A8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4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E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44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E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606C8B"/>
    <w:multiLevelType w:val="hybridMultilevel"/>
    <w:tmpl w:val="CC9AD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978581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59DE"/>
    <w:multiLevelType w:val="hybridMultilevel"/>
    <w:tmpl w:val="874AB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6242"/>
    <w:multiLevelType w:val="hybridMultilevel"/>
    <w:tmpl w:val="1BD4E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40CA"/>
    <w:multiLevelType w:val="hybridMultilevel"/>
    <w:tmpl w:val="130C3A42"/>
    <w:lvl w:ilvl="0" w:tplc="FC7E30D6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408E"/>
    <w:multiLevelType w:val="multilevel"/>
    <w:tmpl w:val="9CCE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72A29"/>
    <w:multiLevelType w:val="hybridMultilevel"/>
    <w:tmpl w:val="96A84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1504F"/>
    <w:multiLevelType w:val="hybridMultilevel"/>
    <w:tmpl w:val="6742A8A8"/>
    <w:lvl w:ilvl="0" w:tplc="0410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5FC54734"/>
    <w:multiLevelType w:val="hybridMultilevel"/>
    <w:tmpl w:val="BEDCAC82"/>
    <w:lvl w:ilvl="0" w:tplc="260889F4">
      <w:numFmt w:val="bullet"/>
      <w:lvlText w:val="-"/>
      <w:lvlJc w:val="left"/>
      <w:pPr>
        <w:ind w:left="720" w:hanging="360"/>
      </w:pPr>
      <w:rPr>
        <w:rFonts w:ascii="TIM Sans Light" w:eastAsia="Times New Roman" w:hAnsi="TIM Sans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1710">
    <w:abstractNumId w:val="11"/>
  </w:num>
  <w:num w:numId="2" w16cid:durableId="338434418">
    <w:abstractNumId w:val="1"/>
  </w:num>
  <w:num w:numId="3" w16cid:durableId="392431951">
    <w:abstractNumId w:val="8"/>
  </w:num>
  <w:num w:numId="4" w16cid:durableId="17257349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3791493">
    <w:abstractNumId w:val="0"/>
  </w:num>
  <w:num w:numId="6" w16cid:durableId="656031808">
    <w:abstractNumId w:val="2"/>
  </w:num>
  <w:num w:numId="7" w16cid:durableId="1579052156">
    <w:abstractNumId w:val="3"/>
  </w:num>
  <w:num w:numId="8" w16cid:durableId="1309020626">
    <w:abstractNumId w:val="9"/>
  </w:num>
  <w:num w:numId="9" w16cid:durableId="1473980548">
    <w:abstractNumId w:val="7"/>
  </w:num>
  <w:num w:numId="10" w16cid:durableId="1552576707">
    <w:abstractNumId w:val="4"/>
  </w:num>
  <w:num w:numId="11" w16cid:durableId="966475794">
    <w:abstractNumId w:val="5"/>
  </w:num>
  <w:num w:numId="12" w16cid:durableId="576019710">
    <w:abstractNumId w:val="6"/>
  </w:num>
  <w:num w:numId="13" w16cid:durableId="1133252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E"/>
    <w:rsid w:val="00001943"/>
    <w:rsid w:val="00003AA0"/>
    <w:rsid w:val="00004EE2"/>
    <w:rsid w:val="000074D4"/>
    <w:rsid w:val="00012F2A"/>
    <w:rsid w:val="000136AD"/>
    <w:rsid w:val="00016652"/>
    <w:rsid w:val="00021EE6"/>
    <w:rsid w:val="000276BF"/>
    <w:rsid w:val="00030272"/>
    <w:rsid w:val="000350BA"/>
    <w:rsid w:val="00043EFE"/>
    <w:rsid w:val="00047435"/>
    <w:rsid w:val="000502F4"/>
    <w:rsid w:val="00052855"/>
    <w:rsid w:val="00056520"/>
    <w:rsid w:val="00057006"/>
    <w:rsid w:val="00061CAF"/>
    <w:rsid w:val="00063FAF"/>
    <w:rsid w:val="000654BC"/>
    <w:rsid w:val="00067D07"/>
    <w:rsid w:val="00070479"/>
    <w:rsid w:val="00072AAC"/>
    <w:rsid w:val="00073458"/>
    <w:rsid w:val="000747AD"/>
    <w:rsid w:val="000767A0"/>
    <w:rsid w:val="00077098"/>
    <w:rsid w:val="00077692"/>
    <w:rsid w:val="00080922"/>
    <w:rsid w:val="00083C50"/>
    <w:rsid w:val="000915F9"/>
    <w:rsid w:val="00091B07"/>
    <w:rsid w:val="00091D72"/>
    <w:rsid w:val="00092E00"/>
    <w:rsid w:val="000A10C9"/>
    <w:rsid w:val="000B1F8A"/>
    <w:rsid w:val="000B53DD"/>
    <w:rsid w:val="000C0574"/>
    <w:rsid w:val="000C0625"/>
    <w:rsid w:val="000C240D"/>
    <w:rsid w:val="000C334D"/>
    <w:rsid w:val="000C5CC0"/>
    <w:rsid w:val="000C74DD"/>
    <w:rsid w:val="000C7604"/>
    <w:rsid w:val="000C78DF"/>
    <w:rsid w:val="000D1C79"/>
    <w:rsid w:val="000D3A6D"/>
    <w:rsid w:val="000D60E6"/>
    <w:rsid w:val="000E225B"/>
    <w:rsid w:val="000F1EB9"/>
    <w:rsid w:val="000F268C"/>
    <w:rsid w:val="000F272D"/>
    <w:rsid w:val="000F28C3"/>
    <w:rsid w:val="000F2B07"/>
    <w:rsid w:val="000F387B"/>
    <w:rsid w:val="000F38A7"/>
    <w:rsid w:val="001002B4"/>
    <w:rsid w:val="00101627"/>
    <w:rsid w:val="00101D69"/>
    <w:rsid w:val="00102715"/>
    <w:rsid w:val="00112D1A"/>
    <w:rsid w:val="001157B3"/>
    <w:rsid w:val="001166BD"/>
    <w:rsid w:val="00116D12"/>
    <w:rsid w:val="00117E6D"/>
    <w:rsid w:val="00122547"/>
    <w:rsid w:val="0012599E"/>
    <w:rsid w:val="001275A9"/>
    <w:rsid w:val="001325F9"/>
    <w:rsid w:val="00137234"/>
    <w:rsid w:val="00141FD7"/>
    <w:rsid w:val="0014417D"/>
    <w:rsid w:val="001618CA"/>
    <w:rsid w:val="0016320A"/>
    <w:rsid w:val="00170973"/>
    <w:rsid w:val="00180B55"/>
    <w:rsid w:val="00181C9A"/>
    <w:rsid w:val="00183376"/>
    <w:rsid w:val="00185E09"/>
    <w:rsid w:val="001912BB"/>
    <w:rsid w:val="001B217A"/>
    <w:rsid w:val="001B5FB4"/>
    <w:rsid w:val="001B637A"/>
    <w:rsid w:val="001C0241"/>
    <w:rsid w:val="001D364B"/>
    <w:rsid w:val="001D4880"/>
    <w:rsid w:val="001D5CE2"/>
    <w:rsid w:val="001E00F6"/>
    <w:rsid w:val="001E2988"/>
    <w:rsid w:val="001E5100"/>
    <w:rsid w:val="001E6EDC"/>
    <w:rsid w:val="001F4FB3"/>
    <w:rsid w:val="0020008C"/>
    <w:rsid w:val="002001A3"/>
    <w:rsid w:val="0020464D"/>
    <w:rsid w:val="002123A7"/>
    <w:rsid w:val="002130AB"/>
    <w:rsid w:val="00214C32"/>
    <w:rsid w:val="00214E2B"/>
    <w:rsid w:val="00214F97"/>
    <w:rsid w:val="0021507B"/>
    <w:rsid w:val="0022062B"/>
    <w:rsid w:val="00220756"/>
    <w:rsid w:val="00220DFC"/>
    <w:rsid w:val="00222561"/>
    <w:rsid w:val="00223609"/>
    <w:rsid w:val="00224240"/>
    <w:rsid w:val="00224BD1"/>
    <w:rsid w:val="00226109"/>
    <w:rsid w:val="00227606"/>
    <w:rsid w:val="0023334E"/>
    <w:rsid w:val="0023516F"/>
    <w:rsid w:val="0024226D"/>
    <w:rsid w:val="00246C5E"/>
    <w:rsid w:val="00251A7D"/>
    <w:rsid w:val="002620F8"/>
    <w:rsid w:val="002646AB"/>
    <w:rsid w:val="00265606"/>
    <w:rsid w:val="00265E8E"/>
    <w:rsid w:val="00270058"/>
    <w:rsid w:val="00270F79"/>
    <w:rsid w:val="002730C3"/>
    <w:rsid w:val="00277A09"/>
    <w:rsid w:val="00277DCB"/>
    <w:rsid w:val="00281424"/>
    <w:rsid w:val="00284218"/>
    <w:rsid w:val="0028580C"/>
    <w:rsid w:val="00291F6C"/>
    <w:rsid w:val="002A367F"/>
    <w:rsid w:val="002A492C"/>
    <w:rsid w:val="002A6B50"/>
    <w:rsid w:val="002B646D"/>
    <w:rsid w:val="002C32BC"/>
    <w:rsid w:val="002E341F"/>
    <w:rsid w:val="002E56C5"/>
    <w:rsid w:val="002E7CD2"/>
    <w:rsid w:val="002F1398"/>
    <w:rsid w:val="002F21AB"/>
    <w:rsid w:val="002F50D5"/>
    <w:rsid w:val="003034F5"/>
    <w:rsid w:val="00306F2B"/>
    <w:rsid w:val="003075FE"/>
    <w:rsid w:val="00311F65"/>
    <w:rsid w:val="003176B6"/>
    <w:rsid w:val="00330EB8"/>
    <w:rsid w:val="00337020"/>
    <w:rsid w:val="00342513"/>
    <w:rsid w:val="003441DB"/>
    <w:rsid w:val="00345C0A"/>
    <w:rsid w:val="0035010E"/>
    <w:rsid w:val="00351FA4"/>
    <w:rsid w:val="00352FA8"/>
    <w:rsid w:val="003573DB"/>
    <w:rsid w:val="00361C73"/>
    <w:rsid w:val="003627D2"/>
    <w:rsid w:val="00362974"/>
    <w:rsid w:val="0036519E"/>
    <w:rsid w:val="003653CE"/>
    <w:rsid w:val="003674FB"/>
    <w:rsid w:val="003711A0"/>
    <w:rsid w:val="0037214F"/>
    <w:rsid w:val="0037356E"/>
    <w:rsid w:val="00376ED2"/>
    <w:rsid w:val="003821BE"/>
    <w:rsid w:val="00384DF7"/>
    <w:rsid w:val="00385185"/>
    <w:rsid w:val="00386A4A"/>
    <w:rsid w:val="003936C9"/>
    <w:rsid w:val="00393CC1"/>
    <w:rsid w:val="003B1144"/>
    <w:rsid w:val="003B3387"/>
    <w:rsid w:val="003B3CBC"/>
    <w:rsid w:val="003B4C66"/>
    <w:rsid w:val="003C0A2F"/>
    <w:rsid w:val="003C16C4"/>
    <w:rsid w:val="003C1E07"/>
    <w:rsid w:val="003C2B23"/>
    <w:rsid w:val="003D1DF1"/>
    <w:rsid w:val="003D7AA6"/>
    <w:rsid w:val="003D7E1D"/>
    <w:rsid w:val="003E2456"/>
    <w:rsid w:val="003E4762"/>
    <w:rsid w:val="003E7373"/>
    <w:rsid w:val="003E754C"/>
    <w:rsid w:val="003F27B5"/>
    <w:rsid w:val="003F3843"/>
    <w:rsid w:val="003F4457"/>
    <w:rsid w:val="003F4991"/>
    <w:rsid w:val="003F4C00"/>
    <w:rsid w:val="003F4DF0"/>
    <w:rsid w:val="003F683B"/>
    <w:rsid w:val="00400158"/>
    <w:rsid w:val="004046EC"/>
    <w:rsid w:val="00404B0A"/>
    <w:rsid w:val="00404C96"/>
    <w:rsid w:val="004053C7"/>
    <w:rsid w:val="004076AB"/>
    <w:rsid w:val="00407F1D"/>
    <w:rsid w:val="004103EF"/>
    <w:rsid w:val="00411233"/>
    <w:rsid w:val="004124AD"/>
    <w:rsid w:val="00416715"/>
    <w:rsid w:val="004201A3"/>
    <w:rsid w:val="00423CB9"/>
    <w:rsid w:val="0042725C"/>
    <w:rsid w:val="00430A76"/>
    <w:rsid w:val="00431115"/>
    <w:rsid w:val="0043311E"/>
    <w:rsid w:val="004420AF"/>
    <w:rsid w:val="004530E3"/>
    <w:rsid w:val="00455B5C"/>
    <w:rsid w:val="0045728F"/>
    <w:rsid w:val="00465A43"/>
    <w:rsid w:val="00473ADF"/>
    <w:rsid w:val="00483C40"/>
    <w:rsid w:val="00485A38"/>
    <w:rsid w:val="00490503"/>
    <w:rsid w:val="00490F3E"/>
    <w:rsid w:val="00492D28"/>
    <w:rsid w:val="004948B6"/>
    <w:rsid w:val="00494EA6"/>
    <w:rsid w:val="00496AB9"/>
    <w:rsid w:val="00497F68"/>
    <w:rsid w:val="004A3E92"/>
    <w:rsid w:val="004A6104"/>
    <w:rsid w:val="004A644C"/>
    <w:rsid w:val="004B1A8C"/>
    <w:rsid w:val="004B3947"/>
    <w:rsid w:val="004B3C21"/>
    <w:rsid w:val="004B4DC7"/>
    <w:rsid w:val="004C50B9"/>
    <w:rsid w:val="004C71C5"/>
    <w:rsid w:val="004C7FB6"/>
    <w:rsid w:val="004D42C2"/>
    <w:rsid w:val="004D4874"/>
    <w:rsid w:val="004D6EB0"/>
    <w:rsid w:val="004E26CA"/>
    <w:rsid w:val="004E472D"/>
    <w:rsid w:val="004E51EF"/>
    <w:rsid w:val="004E5BD6"/>
    <w:rsid w:val="004E6342"/>
    <w:rsid w:val="004F0B0F"/>
    <w:rsid w:val="004F47C9"/>
    <w:rsid w:val="004F5132"/>
    <w:rsid w:val="004F764D"/>
    <w:rsid w:val="005003B4"/>
    <w:rsid w:val="005004FA"/>
    <w:rsid w:val="0050326C"/>
    <w:rsid w:val="00503F33"/>
    <w:rsid w:val="005116FA"/>
    <w:rsid w:val="005118A5"/>
    <w:rsid w:val="00511E3A"/>
    <w:rsid w:val="005170F4"/>
    <w:rsid w:val="005210BB"/>
    <w:rsid w:val="00521E28"/>
    <w:rsid w:val="0052458B"/>
    <w:rsid w:val="00532E79"/>
    <w:rsid w:val="005415F4"/>
    <w:rsid w:val="005425E0"/>
    <w:rsid w:val="00542F23"/>
    <w:rsid w:val="0054376D"/>
    <w:rsid w:val="005440FE"/>
    <w:rsid w:val="005451A9"/>
    <w:rsid w:val="00546BE6"/>
    <w:rsid w:val="00547105"/>
    <w:rsid w:val="00551E9F"/>
    <w:rsid w:val="00554DCC"/>
    <w:rsid w:val="0055648A"/>
    <w:rsid w:val="00556FFE"/>
    <w:rsid w:val="005628DF"/>
    <w:rsid w:val="00562A58"/>
    <w:rsid w:val="00562E8B"/>
    <w:rsid w:val="005671D4"/>
    <w:rsid w:val="005702F4"/>
    <w:rsid w:val="00570C13"/>
    <w:rsid w:val="00571750"/>
    <w:rsid w:val="00571E15"/>
    <w:rsid w:val="00573DF9"/>
    <w:rsid w:val="00580C0C"/>
    <w:rsid w:val="00582E30"/>
    <w:rsid w:val="00585FBE"/>
    <w:rsid w:val="0058667F"/>
    <w:rsid w:val="00591DE1"/>
    <w:rsid w:val="00597EA9"/>
    <w:rsid w:val="005A3683"/>
    <w:rsid w:val="005A4FF9"/>
    <w:rsid w:val="005A5820"/>
    <w:rsid w:val="005B0A0C"/>
    <w:rsid w:val="005B243A"/>
    <w:rsid w:val="005B7BA3"/>
    <w:rsid w:val="005B7C75"/>
    <w:rsid w:val="005C0E18"/>
    <w:rsid w:val="005C459A"/>
    <w:rsid w:val="005C4AA0"/>
    <w:rsid w:val="005C67BC"/>
    <w:rsid w:val="005C7A8D"/>
    <w:rsid w:val="005D3216"/>
    <w:rsid w:val="005D3973"/>
    <w:rsid w:val="005D3D68"/>
    <w:rsid w:val="005D556A"/>
    <w:rsid w:val="005E1E7E"/>
    <w:rsid w:val="005E47FF"/>
    <w:rsid w:val="005F57E9"/>
    <w:rsid w:val="00605B88"/>
    <w:rsid w:val="00606223"/>
    <w:rsid w:val="00610280"/>
    <w:rsid w:val="0061148A"/>
    <w:rsid w:val="00612343"/>
    <w:rsid w:val="006172FA"/>
    <w:rsid w:val="006217CA"/>
    <w:rsid w:val="00621FC9"/>
    <w:rsid w:val="00625DA8"/>
    <w:rsid w:val="0063035A"/>
    <w:rsid w:val="00633BB4"/>
    <w:rsid w:val="006356B8"/>
    <w:rsid w:val="00642958"/>
    <w:rsid w:val="00647CEB"/>
    <w:rsid w:val="0065276A"/>
    <w:rsid w:val="00654C6F"/>
    <w:rsid w:val="00655643"/>
    <w:rsid w:val="006574E0"/>
    <w:rsid w:val="00657B03"/>
    <w:rsid w:val="00661562"/>
    <w:rsid w:val="006620DF"/>
    <w:rsid w:val="006635E2"/>
    <w:rsid w:val="006677D2"/>
    <w:rsid w:val="0068392E"/>
    <w:rsid w:val="00683E03"/>
    <w:rsid w:val="00690C97"/>
    <w:rsid w:val="0069195A"/>
    <w:rsid w:val="006955CD"/>
    <w:rsid w:val="00697B5E"/>
    <w:rsid w:val="00697DBF"/>
    <w:rsid w:val="006A1E59"/>
    <w:rsid w:val="006A5388"/>
    <w:rsid w:val="006A59F3"/>
    <w:rsid w:val="006A6856"/>
    <w:rsid w:val="006A75DB"/>
    <w:rsid w:val="006B3453"/>
    <w:rsid w:val="006B3C4D"/>
    <w:rsid w:val="006B4642"/>
    <w:rsid w:val="006B5393"/>
    <w:rsid w:val="006B6838"/>
    <w:rsid w:val="006C0A5F"/>
    <w:rsid w:val="006D7E7F"/>
    <w:rsid w:val="006E1AB5"/>
    <w:rsid w:val="006E5E43"/>
    <w:rsid w:val="006F2EC8"/>
    <w:rsid w:val="006F664B"/>
    <w:rsid w:val="00700A05"/>
    <w:rsid w:val="00705564"/>
    <w:rsid w:val="007103A5"/>
    <w:rsid w:val="007165DA"/>
    <w:rsid w:val="00716B8F"/>
    <w:rsid w:val="007240DF"/>
    <w:rsid w:val="0072487D"/>
    <w:rsid w:val="0073096D"/>
    <w:rsid w:val="00732841"/>
    <w:rsid w:val="00737EDE"/>
    <w:rsid w:val="0074038C"/>
    <w:rsid w:val="007462B5"/>
    <w:rsid w:val="00750904"/>
    <w:rsid w:val="00753C15"/>
    <w:rsid w:val="00754EE2"/>
    <w:rsid w:val="00755278"/>
    <w:rsid w:val="007555FA"/>
    <w:rsid w:val="00755C15"/>
    <w:rsid w:val="00757A44"/>
    <w:rsid w:val="0076018E"/>
    <w:rsid w:val="007602D3"/>
    <w:rsid w:val="00761323"/>
    <w:rsid w:val="00762152"/>
    <w:rsid w:val="00763220"/>
    <w:rsid w:val="0076418E"/>
    <w:rsid w:val="00770B90"/>
    <w:rsid w:val="00773C46"/>
    <w:rsid w:val="007765C7"/>
    <w:rsid w:val="00776638"/>
    <w:rsid w:val="00782ECE"/>
    <w:rsid w:val="0078446D"/>
    <w:rsid w:val="0078577C"/>
    <w:rsid w:val="00785FDB"/>
    <w:rsid w:val="00786B37"/>
    <w:rsid w:val="00792583"/>
    <w:rsid w:val="00792FEE"/>
    <w:rsid w:val="00793970"/>
    <w:rsid w:val="00794D63"/>
    <w:rsid w:val="00795FFA"/>
    <w:rsid w:val="00796557"/>
    <w:rsid w:val="007A328B"/>
    <w:rsid w:val="007A421E"/>
    <w:rsid w:val="007A616D"/>
    <w:rsid w:val="007A6A05"/>
    <w:rsid w:val="007A72FF"/>
    <w:rsid w:val="007B16F1"/>
    <w:rsid w:val="007B3906"/>
    <w:rsid w:val="007B3D84"/>
    <w:rsid w:val="007B7668"/>
    <w:rsid w:val="007D19DB"/>
    <w:rsid w:val="007D3AB7"/>
    <w:rsid w:val="007D442D"/>
    <w:rsid w:val="007D6D4D"/>
    <w:rsid w:val="007E087F"/>
    <w:rsid w:val="007E2C38"/>
    <w:rsid w:val="007E345F"/>
    <w:rsid w:val="007E3723"/>
    <w:rsid w:val="007E6C60"/>
    <w:rsid w:val="007F391C"/>
    <w:rsid w:val="007F3AF4"/>
    <w:rsid w:val="007F3B33"/>
    <w:rsid w:val="007F7F75"/>
    <w:rsid w:val="008028F3"/>
    <w:rsid w:val="00802C17"/>
    <w:rsid w:val="008070EC"/>
    <w:rsid w:val="008074F4"/>
    <w:rsid w:val="00810BB8"/>
    <w:rsid w:val="00813049"/>
    <w:rsid w:val="00817CCB"/>
    <w:rsid w:val="00821E54"/>
    <w:rsid w:val="00822214"/>
    <w:rsid w:val="00823475"/>
    <w:rsid w:val="00826DB7"/>
    <w:rsid w:val="008313CE"/>
    <w:rsid w:val="00834EF7"/>
    <w:rsid w:val="00847E28"/>
    <w:rsid w:val="00850851"/>
    <w:rsid w:val="0085230C"/>
    <w:rsid w:val="00855667"/>
    <w:rsid w:val="00856C62"/>
    <w:rsid w:val="00861D4B"/>
    <w:rsid w:val="00862DA9"/>
    <w:rsid w:val="0086461A"/>
    <w:rsid w:val="00864ECE"/>
    <w:rsid w:val="00866AD9"/>
    <w:rsid w:val="00867293"/>
    <w:rsid w:val="008734B9"/>
    <w:rsid w:val="008737C3"/>
    <w:rsid w:val="0087542B"/>
    <w:rsid w:val="008758DA"/>
    <w:rsid w:val="0087609D"/>
    <w:rsid w:val="0087717F"/>
    <w:rsid w:val="008802F0"/>
    <w:rsid w:val="00881255"/>
    <w:rsid w:val="00882D13"/>
    <w:rsid w:val="00884F45"/>
    <w:rsid w:val="0089063C"/>
    <w:rsid w:val="00890927"/>
    <w:rsid w:val="0089329E"/>
    <w:rsid w:val="00893421"/>
    <w:rsid w:val="008939A3"/>
    <w:rsid w:val="00893C08"/>
    <w:rsid w:val="00895C0D"/>
    <w:rsid w:val="00895F77"/>
    <w:rsid w:val="00896992"/>
    <w:rsid w:val="00896B10"/>
    <w:rsid w:val="008A37E0"/>
    <w:rsid w:val="008A458F"/>
    <w:rsid w:val="008A79EA"/>
    <w:rsid w:val="008B2971"/>
    <w:rsid w:val="008B4307"/>
    <w:rsid w:val="008B6F8E"/>
    <w:rsid w:val="008C0727"/>
    <w:rsid w:val="008C19C0"/>
    <w:rsid w:val="008C1B3E"/>
    <w:rsid w:val="008D03E1"/>
    <w:rsid w:val="008D3378"/>
    <w:rsid w:val="008D3CE2"/>
    <w:rsid w:val="008E3333"/>
    <w:rsid w:val="008E41D7"/>
    <w:rsid w:val="008E5C5D"/>
    <w:rsid w:val="008F3979"/>
    <w:rsid w:val="008F4687"/>
    <w:rsid w:val="008F472F"/>
    <w:rsid w:val="00901BBE"/>
    <w:rsid w:val="00911CB6"/>
    <w:rsid w:val="00911FEB"/>
    <w:rsid w:val="00920AC1"/>
    <w:rsid w:val="00923294"/>
    <w:rsid w:val="00924DE3"/>
    <w:rsid w:val="00926F55"/>
    <w:rsid w:val="00931068"/>
    <w:rsid w:val="009335A1"/>
    <w:rsid w:val="00935F07"/>
    <w:rsid w:val="0094033F"/>
    <w:rsid w:val="009408D3"/>
    <w:rsid w:val="009432BB"/>
    <w:rsid w:val="00946C43"/>
    <w:rsid w:val="00947D27"/>
    <w:rsid w:val="0095194F"/>
    <w:rsid w:val="00951EA4"/>
    <w:rsid w:val="009522A1"/>
    <w:rsid w:val="00957C98"/>
    <w:rsid w:val="0096296A"/>
    <w:rsid w:val="00963797"/>
    <w:rsid w:val="00967A09"/>
    <w:rsid w:val="00970268"/>
    <w:rsid w:val="00971C58"/>
    <w:rsid w:val="00972AC0"/>
    <w:rsid w:val="009820E9"/>
    <w:rsid w:val="009860F6"/>
    <w:rsid w:val="00986BED"/>
    <w:rsid w:val="00991752"/>
    <w:rsid w:val="009922F9"/>
    <w:rsid w:val="009A0669"/>
    <w:rsid w:val="009A1B94"/>
    <w:rsid w:val="009A6BD1"/>
    <w:rsid w:val="009A7C04"/>
    <w:rsid w:val="009B1169"/>
    <w:rsid w:val="009C127C"/>
    <w:rsid w:val="009C3A8A"/>
    <w:rsid w:val="009D0922"/>
    <w:rsid w:val="009D1FFA"/>
    <w:rsid w:val="009D223E"/>
    <w:rsid w:val="009D47FA"/>
    <w:rsid w:val="009D5102"/>
    <w:rsid w:val="009D684B"/>
    <w:rsid w:val="009D77A4"/>
    <w:rsid w:val="009E6DB0"/>
    <w:rsid w:val="009E701C"/>
    <w:rsid w:val="009F05B4"/>
    <w:rsid w:val="009F1650"/>
    <w:rsid w:val="009F2A49"/>
    <w:rsid w:val="009F412A"/>
    <w:rsid w:val="009F4A0D"/>
    <w:rsid w:val="00A0013B"/>
    <w:rsid w:val="00A07213"/>
    <w:rsid w:val="00A11D48"/>
    <w:rsid w:val="00A148BD"/>
    <w:rsid w:val="00A158E8"/>
    <w:rsid w:val="00A21E87"/>
    <w:rsid w:val="00A23907"/>
    <w:rsid w:val="00A270F5"/>
    <w:rsid w:val="00A30A79"/>
    <w:rsid w:val="00A32211"/>
    <w:rsid w:val="00A35734"/>
    <w:rsid w:val="00A35B96"/>
    <w:rsid w:val="00A40ADE"/>
    <w:rsid w:val="00A516E5"/>
    <w:rsid w:val="00A523DC"/>
    <w:rsid w:val="00A5631F"/>
    <w:rsid w:val="00A57279"/>
    <w:rsid w:val="00A626D3"/>
    <w:rsid w:val="00A64800"/>
    <w:rsid w:val="00A666AF"/>
    <w:rsid w:val="00A70597"/>
    <w:rsid w:val="00A71144"/>
    <w:rsid w:val="00A7261A"/>
    <w:rsid w:val="00A732EF"/>
    <w:rsid w:val="00A81529"/>
    <w:rsid w:val="00A8348E"/>
    <w:rsid w:val="00A83B1C"/>
    <w:rsid w:val="00A8771A"/>
    <w:rsid w:val="00A92416"/>
    <w:rsid w:val="00AA5B3E"/>
    <w:rsid w:val="00AA7660"/>
    <w:rsid w:val="00AB4621"/>
    <w:rsid w:val="00AB5857"/>
    <w:rsid w:val="00AB6105"/>
    <w:rsid w:val="00AC363F"/>
    <w:rsid w:val="00AD571A"/>
    <w:rsid w:val="00AE38B9"/>
    <w:rsid w:val="00AE64F7"/>
    <w:rsid w:val="00AF214C"/>
    <w:rsid w:val="00AF6A85"/>
    <w:rsid w:val="00AF6BDC"/>
    <w:rsid w:val="00AF7A62"/>
    <w:rsid w:val="00B01067"/>
    <w:rsid w:val="00B032ED"/>
    <w:rsid w:val="00B04715"/>
    <w:rsid w:val="00B04B72"/>
    <w:rsid w:val="00B07206"/>
    <w:rsid w:val="00B07625"/>
    <w:rsid w:val="00B130B1"/>
    <w:rsid w:val="00B13592"/>
    <w:rsid w:val="00B13803"/>
    <w:rsid w:val="00B14B16"/>
    <w:rsid w:val="00B1581E"/>
    <w:rsid w:val="00B20FDB"/>
    <w:rsid w:val="00B23837"/>
    <w:rsid w:val="00B3708E"/>
    <w:rsid w:val="00B37AB5"/>
    <w:rsid w:val="00B4446E"/>
    <w:rsid w:val="00B44AE6"/>
    <w:rsid w:val="00B45B5F"/>
    <w:rsid w:val="00B46B79"/>
    <w:rsid w:val="00B51C7D"/>
    <w:rsid w:val="00B5696B"/>
    <w:rsid w:val="00B572EC"/>
    <w:rsid w:val="00B605A3"/>
    <w:rsid w:val="00B6062F"/>
    <w:rsid w:val="00B622FD"/>
    <w:rsid w:val="00B64BF4"/>
    <w:rsid w:val="00B724F4"/>
    <w:rsid w:val="00B72BD8"/>
    <w:rsid w:val="00B75706"/>
    <w:rsid w:val="00B758BF"/>
    <w:rsid w:val="00B76422"/>
    <w:rsid w:val="00B802F4"/>
    <w:rsid w:val="00B857BC"/>
    <w:rsid w:val="00B86565"/>
    <w:rsid w:val="00B90BF2"/>
    <w:rsid w:val="00B917B5"/>
    <w:rsid w:val="00B968B0"/>
    <w:rsid w:val="00B96F94"/>
    <w:rsid w:val="00BA10C4"/>
    <w:rsid w:val="00BA196A"/>
    <w:rsid w:val="00BA240B"/>
    <w:rsid w:val="00BA50A9"/>
    <w:rsid w:val="00BB09A5"/>
    <w:rsid w:val="00BB0C2A"/>
    <w:rsid w:val="00BB1F54"/>
    <w:rsid w:val="00BB4A79"/>
    <w:rsid w:val="00BB57BB"/>
    <w:rsid w:val="00BB6882"/>
    <w:rsid w:val="00BC37F1"/>
    <w:rsid w:val="00BD214E"/>
    <w:rsid w:val="00BD5718"/>
    <w:rsid w:val="00BD6168"/>
    <w:rsid w:val="00BE3960"/>
    <w:rsid w:val="00BE4C6A"/>
    <w:rsid w:val="00BE516C"/>
    <w:rsid w:val="00BF2ECF"/>
    <w:rsid w:val="00BF3FC6"/>
    <w:rsid w:val="00BF5C46"/>
    <w:rsid w:val="00C00AD7"/>
    <w:rsid w:val="00C14747"/>
    <w:rsid w:val="00C15577"/>
    <w:rsid w:val="00C1620F"/>
    <w:rsid w:val="00C16D8E"/>
    <w:rsid w:val="00C17B24"/>
    <w:rsid w:val="00C2077E"/>
    <w:rsid w:val="00C22280"/>
    <w:rsid w:val="00C239B6"/>
    <w:rsid w:val="00C24853"/>
    <w:rsid w:val="00C249F3"/>
    <w:rsid w:val="00C25433"/>
    <w:rsid w:val="00C2562A"/>
    <w:rsid w:val="00C2781E"/>
    <w:rsid w:val="00C33302"/>
    <w:rsid w:val="00C41187"/>
    <w:rsid w:val="00C412EB"/>
    <w:rsid w:val="00C43397"/>
    <w:rsid w:val="00C46BF8"/>
    <w:rsid w:val="00C5018D"/>
    <w:rsid w:val="00C51215"/>
    <w:rsid w:val="00C52C40"/>
    <w:rsid w:val="00C5338C"/>
    <w:rsid w:val="00C54071"/>
    <w:rsid w:val="00C64CE4"/>
    <w:rsid w:val="00C64F84"/>
    <w:rsid w:val="00C658C0"/>
    <w:rsid w:val="00C718E2"/>
    <w:rsid w:val="00C81E19"/>
    <w:rsid w:val="00C83407"/>
    <w:rsid w:val="00C85214"/>
    <w:rsid w:val="00C86BFB"/>
    <w:rsid w:val="00C92E06"/>
    <w:rsid w:val="00C931CE"/>
    <w:rsid w:val="00C93A7A"/>
    <w:rsid w:val="00C948AF"/>
    <w:rsid w:val="00CA17C6"/>
    <w:rsid w:val="00CA6BAF"/>
    <w:rsid w:val="00CA7B1D"/>
    <w:rsid w:val="00CB0985"/>
    <w:rsid w:val="00CB1C6C"/>
    <w:rsid w:val="00CB4BF7"/>
    <w:rsid w:val="00CB60B3"/>
    <w:rsid w:val="00CC12C5"/>
    <w:rsid w:val="00CC17B8"/>
    <w:rsid w:val="00CC3AD7"/>
    <w:rsid w:val="00CC3C5F"/>
    <w:rsid w:val="00CC443B"/>
    <w:rsid w:val="00CC48F4"/>
    <w:rsid w:val="00CC5D99"/>
    <w:rsid w:val="00CD3D29"/>
    <w:rsid w:val="00CD595C"/>
    <w:rsid w:val="00CE0C58"/>
    <w:rsid w:val="00CE32F1"/>
    <w:rsid w:val="00CE471D"/>
    <w:rsid w:val="00CE63DA"/>
    <w:rsid w:val="00CF7383"/>
    <w:rsid w:val="00D02424"/>
    <w:rsid w:val="00D02522"/>
    <w:rsid w:val="00D05398"/>
    <w:rsid w:val="00D07734"/>
    <w:rsid w:val="00D131B6"/>
    <w:rsid w:val="00D23CCB"/>
    <w:rsid w:val="00D2695C"/>
    <w:rsid w:val="00D276D3"/>
    <w:rsid w:val="00D31C22"/>
    <w:rsid w:val="00D37400"/>
    <w:rsid w:val="00D37E16"/>
    <w:rsid w:val="00D4307F"/>
    <w:rsid w:val="00D46934"/>
    <w:rsid w:val="00D5182B"/>
    <w:rsid w:val="00D52D55"/>
    <w:rsid w:val="00D63A63"/>
    <w:rsid w:val="00D6738B"/>
    <w:rsid w:val="00D6781D"/>
    <w:rsid w:val="00D70813"/>
    <w:rsid w:val="00D717D0"/>
    <w:rsid w:val="00D72556"/>
    <w:rsid w:val="00D739EF"/>
    <w:rsid w:val="00D74347"/>
    <w:rsid w:val="00D75B7E"/>
    <w:rsid w:val="00D76585"/>
    <w:rsid w:val="00D812A3"/>
    <w:rsid w:val="00D834E2"/>
    <w:rsid w:val="00D8608A"/>
    <w:rsid w:val="00D957C0"/>
    <w:rsid w:val="00D96ECD"/>
    <w:rsid w:val="00DA02B2"/>
    <w:rsid w:val="00DA4AEF"/>
    <w:rsid w:val="00DA4ED3"/>
    <w:rsid w:val="00DA7505"/>
    <w:rsid w:val="00DB0972"/>
    <w:rsid w:val="00DB16F2"/>
    <w:rsid w:val="00DB47A0"/>
    <w:rsid w:val="00DB5146"/>
    <w:rsid w:val="00DB54C8"/>
    <w:rsid w:val="00DC1608"/>
    <w:rsid w:val="00DC7119"/>
    <w:rsid w:val="00DC76E9"/>
    <w:rsid w:val="00DC7DF7"/>
    <w:rsid w:val="00DD1D09"/>
    <w:rsid w:val="00DD3543"/>
    <w:rsid w:val="00DE2CBE"/>
    <w:rsid w:val="00DE6F69"/>
    <w:rsid w:val="00E008E0"/>
    <w:rsid w:val="00E0669C"/>
    <w:rsid w:val="00E07133"/>
    <w:rsid w:val="00E128EA"/>
    <w:rsid w:val="00E13EF9"/>
    <w:rsid w:val="00E16968"/>
    <w:rsid w:val="00E16B0A"/>
    <w:rsid w:val="00E16D25"/>
    <w:rsid w:val="00E16EF8"/>
    <w:rsid w:val="00E1791F"/>
    <w:rsid w:val="00E17CCD"/>
    <w:rsid w:val="00E22D74"/>
    <w:rsid w:val="00E319A6"/>
    <w:rsid w:val="00E34C05"/>
    <w:rsid w:val="00E36A9E"/>
    <w:rsid w:val="00E37EBF"/>
    <w:rsid w:val="00E42AC6"/>
    <w:rsid w:val="00E50134"/>
    <w:rsid w:val="00E50F51"/>
    <w:rsid w:val="00E54A19"/>
    <w:rsid w:val="00E61721"/>
    <w:rsid w:val="00E67359"/>
    <w:rsid w:val="00E7171E"/>
    <w:rsid w:val="00E732F4"/>
    <w:rsid w:val="00E73E81"/>
    <w:rsid w:val="00E740AF"/>
    <w:rsid w:val="00E77921"/>
    <w:rsid w:val="00E80172"/>
    <w:rsid w:val="00E81CCE"/>
    <w:rsid w:val="00E85A17"/>
    <w:rsid w:val="00E91BA9"/>
    <w:rsid w:val="00E935B6"/>
    <w:rsid w:val="00E93D50"/>
    <w:rsid w:val="00E95B11"/>
    <w:rsid w:val="00E972D9"/>
    <w:rsid w:val="00EA0822"/>
    <w:rsid w:val="00EA470B"/>
    <w:rsid w:val="00EA4A83"/>
    <w:rsid w:val="00EA7B56"/>
    <w:rsid w:val="00EB7370"/>
    <w:rsid w:val="00EC156E"/>
    <w:rsid w:val="00EC5EFD"/>
    <w:rsid w:val="00EC71AA"/>
    <w:rsid w:val="00EC7BF4"/>
    <w:rsid w:val="00ED0E0D"/>
    <w:rsid w:val="00ED3F0A"/>
    <w:rsid w:val="00ED76DB"/>
    <w:rsid w:val="00EF55CA"/>
    <w:rsid w:val="00F014DD"/>
    <w:rsid w:val="00F03194"/>
    <w:rsid w:val="00F075EB"/>
    <w:rsid w:val="00F10674"/>
    <w:rsid w:val="00F12370"/>
    <w:rsid w:val="00F131B1"/>
    <w:rsid w:val="00F15D76"/>
    <w:rsid w:val="00F210CE"/>
    <w:rsid w:val="00F23221"/>
    <w:rsid w:val="00F25FB0"/>
    <w:rsid w:val="00F263D6"/>
    <w:rsid w:val="00F304A0"/>
    <w:rsid w:val="00F3190F"/>
    <w:rsid w:val="00F36180"/>
    <w:rsid w:val="00F365D7"/>
    <w:rsid w:val="00F40B09"/>
    <w:rsid w:val="00F4353D"/>
    <w:rsid w:val="00F4687C"/>
    <w:rsid w:val="00F473E5"/>
    <w:rsid w:val="00F51948"/>
    <w:rsid w:val="00F51E42"/>
    <w:rsid w:val="00F527C6"/>
    <w:rsid w:val="00F55401"/>
    <w:rsid w:val="00F63837"/>
    <w:rsid w:val="00F67629"/>
    <w:rsid w:val="00F71139"/>
    <w:rsid w:val="00F720D5"/>
    <w:rsid w:val="00F75E2D"/>
    <w:rsid w:val="00F775F4"/>
    <w:rsid w:val="00F84669"/>
    <w:rsid w:val="00F84A6F"/>
    <w:rsid w:val="00F851B9"/>
    <w:rsid w:val="00F8688A"/>
    <w:rsid w:val="00F86C73"/>
    <w:rsid w:val="00F909E9"/>
    <w:rsid w:val="00F94E20"/>
    <w:rsid w:val="00F95110"/>
    <w:rsid w:val="00F96398"/>
    <w:rsid w:val="00FA1FE8"/>
    <w:rsid w:val="00FA4D49"/>
    <w:rsid w:val="00FA677E"/>
    <w:rsid w:val="00FA7A1F"/>
    <w:rsid w:val="00FC14EC"/>
    <w:rsid w:val="00FC1F57"/>
    <w:rsid w:val="00FC4DFC"/>
    <w:rsid w:val="00FC61BA"/>
    <w:rsid w:val="00FD040B"/>
    <w:rsid w:val="00FD084A"/>
    <w:rsid w:val="00FD0A0A"/>
    <w:rsid w:val="00FD1CB8"/>
    <w:rsid w:val="00FD46E8"/>
    <w:rsid w:val="00FD701C"/>
    <w:rsid w:val="00FE2BDE"/>
    <w:rsid w:val="00FF0144"/>
    <w:rsid w:val="00FF2AB8"/>
    <w:rsid w:val="00FF40F2"/>
    <w:rsid w:val="00FF4714"/>
    <w:rsid w:val="00FF4C9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59F38"/>
  <w15:chartTrackingRefBased/>
  <w15:docId w15:val="{385C28FC-F443-4FAB-9CEF-FDB37BA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18E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3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3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1B5FB4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0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307"/>
    <w:rPr>
      <w:rFonts w:ascii="Calibri" w:eastAsia="Times New Roman" w:hAnsi="Calibri" w:cs="Times New Roman"/>
    </w:rPr>
  </w:style>
  <w:style w:type="paragraph" w:customStyle="1" w:styleId="Default">
    <w:name w:val="Default"/>
    <w:link w:val="DefaultCarattere"/>
    <w:rsid w:val="000C06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Nyala" w:eastAsia="Nyala" w:hAnsi="Nyala" w:cs="Nyala"/>
      <w:color w:val="000000"/>
      <w:sz w:val="24"/>
      <w:szCs w:val="24"/>
      <w:u w:color="000000"/>
      <w:bdr w:val="nil"/>
    </w:rPr>
  </w:style>
  <w:style w:type="character" w:styleId="Enfasigrassetto">
    <w:name w:val="Strong"/>
    <w:basedOn w:val="Carpredefinitoparagrafo"/>
    <w:uiPriority w:val="22"/>
    <w:qFormat/>
    <w:rsid w:val="00362974"/>
    <w:rPr>
      <w:b/>
      <w:bCs/>
    </w:rPr>
  </w:style>
  <w:style w:type="paragraph" w:styleId="Paragrafoelenco">
    <w:name w:val="List Paragraph"/>
    <w:basedOn w:val="Normale"/>
    <w:uiPriority w:val="34"/>
    <w:qFormat/>
    <w:rsid w:val="0036297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9397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2F9"/>
    <w:rPr>
      <w:rFonts w:ascii="Segoe UI" w:eastAsia="Times New Roman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5FB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B5FB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3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-align-justify">
    <w:name w:val="text-align-justify"/>
    <w:basedOn w:val="Normale"/>
    <w:rsid w:val="005E47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3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d-post-date">
    <w:name w:val="td-post-date"/>
    <w:basedOn w:val="Carpredefinitoparagrafo"/>
    <w:rsid w:val="00D131B6"/>
  </w:style>
  <w:style w:type="paragraph" w:customStyle="1" w:styleId="publication-datetime">
    <w:name w:val="publication-date__time"/>
    <w:basedOn w:val="Normale"/>
    <w:rsid w:val="00F963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publication-datecategory">
    <w:name w:val="publication-date__category"/>
    <w:basedOn w:val="Normale"/>
    <w:rsid w:val="00F963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category-title">
    <w:name w:val="category-title"/>
    <w:basedOn w:val="Carpredefinitoparagrafo"/>
    <w:rsid w:val="00F96398"/>
  </w:style>
  <w:style w:type="paragraph" w:styleId="Revisione">
    <w:name w:val="Revision"/>
    <w:hidden/>
    <w:uiPriority w:val="99"/>
    <w:semiHidden/>
    <w:rsid w:val="008734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xmsonormal">
    <w:name w:val="x_xmsonormal"/>
    <w:basedOn w:val="Normale"/>
    <w:uiPriority w:val="99"/>
    <w:semiHidden/>
    <w:rsid w:val="00CD595C"/>
    <w:rPr>
      <w:rFonts w:eastAsiaTheme="minorHAns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7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DF7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A732E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714"/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7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714"/>
    <w:rPr>
      <w:vertAlign w:val="superscript"/>
    </w:rPr>
  </w:style>
  <w:style w:type="character" w:customStyle="1" w:styleId="DefaultCarattere">
    <w:name w:val="Default Carattere"/>
    <w:link w:val="Default"/>
    <w:locked/>
    <w:rsid w:val="00393CC1"/>
    <w:rPr>
      <w:rFonts w:ascii="Nyala" w:eastAsia="Nyala" w:hAnsi="Nyala" w:cs="Nyala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Carpredefinitoparagrafo"/>
    <w:rsid w:val="00E80172"/>
  </w:style>
  <w:style w:type="paragraph" w:customStyle="1" w:styleId="xmsonormal">
    <w:name w:val="x_msonormal"/>
    <w:basedOn w:val="Normale"/>
    <w:rsid w:val="00B51C7D"/>
    <w:rPr>
      <w:rFonts w:eastAsiaTheme="minorHAns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76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76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760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76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760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64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6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office@inwit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8ab8f8-e076-4c99-ab2c-471d657de1e3" xsi:nil="true"/>
    <lcf76f155ced4ddcb4097134ff3c332f xmlns="a4bb097d-78e0-4d51-b17e-a4b2da7b05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212E7BAB4394F87342F71651FAE0E" ma:contentTypeVersion="12" ma:contentTypeDescription="Create a new document." ma:contentTypeScope="" ma:versionID="446b2fc425e0cfc6f5f3cd10000f5f14">
  <xsd:schema xmlns:xsd="http://www.w3.org/2001/XMLSchema" xmlns:xs="http://www.w3.org/2001/XMLSchema" xmlns:p="http://schemas.microsoft.com/office/2006/metadata/properties" xmlns:ns2="a4bb097d-78e0-4d51-b17e-a4b2da7b05fe" xmlns:ns3="0e8ab8f8-e076-4c99-ab2c-471d657de1e3" targetNamespace="http://schemas.microsoft.com/office/2006/metadata/properties" ma:root="true" ma:fieldsID="9030c0cdf4dbab031a28e60a4ddb4be9" ns2:_="" ns3:_="">
    <xsd:import namespace="a4bb097d-78e0-4d51-b17e-a4b2da7b05fe"/>
    <xsd:import namespace="0e8ab8f8-e076-4c99-ab2c-471d657de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b097d-78e0-4d51-b17e-a4b2da7b0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1fd58-4d1f-4227-b348-18deb1034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ab8f8-e076-4c99-ab2c-471d657de1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61e42-fe1b-4a1b-92f3-862cec0aac25}" ma:internalName="TaxCatchAll" ma:showField="CatchAllData" ma:web="0e8ab8f8-e076-4c99-ab2c-471d657de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8F38C-DF6D-4570-8D0B-489C8CB07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FD309-004E-49B4-800A-36150A008943}">
  <ds:schemaRefs>
    <ds:schemaRef ds:uri="http://schemas.microsoft.com/office/2006/metadata/properties"/>
    <ds:schemaRef ds:uri="http://schemas.microsoft.com/office/infopath/2007/PartnerControls"/>
    <ds:schemaRef ds:uri="0e8ab8f8-e076-4c99-ab2c-471d657de1e3"/>
    <ds:schemaRef ds:uri="a4bb097d-78e0-4d51-b17e-a4b2da7b05fe"/>
  </ds:schemaRefs>
</ds:datastoreItem>
</file>

<file path=customXml/itemProps3.xml><?xml version="1.0" encoding="utf-8"?>
<ds:datastoreItem xmlns:ds="http://schemas.openxmlformats.org/officeDocument/2006/customXml" ds:itemID="{5D3A7FFB-3780-433F-8AFC-DAD0F4128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C969E-F45E-4F6D-A40F-3E1D1B2F2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b097d-78e0-4d51-b17e-a4b2da7b05fe"/>
    <ds:schemaRef ds:uri="0e8ab8f8-e076-4c99-ab2c-471d657de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971d01-741d-4f83-b609-1527b3ee1218}" enabled="0" method="" siteId="{e6971d01-741d-4f83-b609-1527b3ee12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vanessa.gloria@inwit.it</dc:creator>
  <cp:keywords/>
  <dc:description/>
  <cp:lastModifiedBy>Gloria Vanessa</cp:lastModifiedBy>
  <cp:revision>44</cp:revision>
  <cp:lastPrinted>2024-01-16T15:43:00Z</cp:lastPrinted>
  <dcterms:created xsi:type="dcterms:W3CDTF">2025-05-16T12:01:00Z</dcterms:created>
  <dcterms:modified xsi:type="dcterms:W3CDTF">2025-05-16T15:38:00Z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0x010100FDB212E7BAB4394F87342F71651FAE0E</vt:lpwstr>
  </property>
  <property fmtid="{D5CDD505-2E9C-101B-9397-08002B2CF9AE}" pid="3" name="MediaServiceImageTags">
    <vt:lpwstr/>
  </property>
</Properties>
</file>